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C7050" w14:textId="77777777" w:rsidR="00100152" w:rsidRPr="00DE766F" w:rsidRDefault="00100152" w:rsidP="00100152">
      <w:pPr>
        <w:pStyle w:val="Nagwek2"/>
        <w:suppressAutoHyphens/>
        <w:jc w:val="center"/>
        <w:rPr>
          <w:rFonts w:ascii="Calibri" w:hAnsi="Calibri"/>
          <w:color w:val="549A0C"/>
          <w:spacing w:val="0"/>
          <w:sz w:val="28"/>
          <w:szCs w:val="28"/>
          <w:u w:val="single"/>
          <w:lang w:val="pl-PL"/>
        </w:rPr>
      </w:pPr>
      <w:r>
        <w:rPr>
          <w:rFonts w:ascii="Calibri" w:hAnsi="Calibri"/>
          <w:bCs w:val="0"/>
          <w:color w:val="549A0C"/>
          <w:sz w:val="28"/>
          <w:szCs w:val="28"/>
          <w:u w:val="single"/>
          <w:lang w:val="pl"/>
        </w:rPr>
        <w:t>Wyniki na rok obrotowy 2022</w:t>
      </w:r>
    </w:p>
    <w:p w14:paraId="2EED97B0" w14:textId="77777777" w:rsidR="00100152" w:rsidRPr="00DE766F" w:rsidRDefault="00100152" w:rsidP="00100152">
      <w:pPr>
        <w:pStyle w:val="Nagwek1"/>
        <w:suppressAutoHyphens/>
        <w:spacing w:before="240" w:line="420" w:lineRule="exact"/>
        <w:ind w:left="-142" w:right="-171"/>
        <w:jc w:val="center"/>
        <w:rPr>
          <w:rFonts w:ascii="Calibri" w:hAnsi="Calibri"/>
          <w:color w:val="549A0C"/>
          <w:spacing w:val="0"/>
          <w:sz w:val="44"/>
          <w:szCs w:val="44"/>
          <w:lang w:val="pl-PL"/>
        </w:rPr>
      </w:pPr>
      <w:r>
        <w:rPr>
          <w:rFonts w:ascii="Calibri" w:hAnsi="Calibri"/>
          <w:color w:val="549A0C"/>
          <w:sz w:val="44"/>
          <w:szCs w:val="44"/>
          <w:lang w:val="pl"/>
        </w:rPr>
        <w:t xml:space="preserve">Cellnex zamyka rok 2022 przychodem na poziomie 3,5 mld EUR, co oznacza wzrost o 38% </w:t>
      </w:r>
    </w:p>
    <w:p w14:paraId="6BE1009E" w14:textId="77777777" w:rsidR="00100152" w:rsidRPr="00DE766F" w:rsidRDefault="00100152" w:rsidP="00100152">
      <w:pPr>
        <w:suppressAutoHyphens/>
        <w:spacing w:after="0" w:line="240" w:lineRule="auto"/>
        <w:jc w:val="center"/>
        <w:rPr>
          <w:rFonts w:asciiTheme="minorHAnsi" w:eastAsia="MS Gothic" w:hAnsiTheme="minorHAnsi" w:cs="Times New Roman"/>
          <w:b/>
          <w:bCs/>
          <w:color w:val="549A0C"/>
          <w:spacing w:val="0"/>
          <w:sz w:val="25"/>
          <w:szCs w:val="25"/>
          <w:lang w:val="pl-PL"/>
        </w:rPr>
      </w:pPr>
    </w:p>
    <w:p w14:paraId="31E1AAC1" w14:textId="77777777" w:rsidR="00100152" w:rsidRPr="00DE766F" w:rsidRDefault="00100152" w:rsidP="00100152">
      <w:pPr>
        <w:suppressAutoHyphens/>
        <w:spacing w:after="0" w:line="240" w:lineRule="auto"/>
        <w:jc w:val="center"/>
        <w:rPr>
          <w:rFonts w:eastAsia="MS Gothic" w:cs="Times New Roman"/>
          <w:b/>
          <w:bCs/>
          <w:color w:val="549A0C"/>
          <w:spacing w:val="0"/>
          <w:sz w:val="26"/>
          <w:szCs w:val="26"/>
          <w:lang w:val="pl-PL"/>
        </w:rPr>
      </w:pPr>
      <w:r>
        <w:rPr>
          <w:rFonts w:eastAsia="MS Gothic" w:cs="Times New Roman"/>
          <w:b/>
          <w:bCs/>
          <w:color w:val="549A0C"/>
          <w:sz w:val="26"/>
          <w:szCs w:val="26"/>
          <w:lang w:val="pl"/>
        </w:rPr>
        <w:t>Wzrosty EBITDA (+37%) i cyklicznych wolnych przepływów pieniężnych (+39%) spowodowane połączeniem wzrostu organicznego i konsolidacji przejęć</w:t>
      </w:r>
    </w:p>
    <w:p w14:paraId="3960839B" w14:textId="77777777" w:rsidR="00100152" w:rsidRPr="00DE766F" w:rsidRDefault="00100152" w:rsidP="00100152">
      <w:pPr>
        <w:suppressAutoHyphens/>
        <w:spacing w:after="0" w:line="240" w:lineRule="auto"/>
        <w:jc w:val="center"/>
        <w:rPr>
          <w:rFonts w:asciiTheme="minorHAnsi" w:eastAsia="MS Gothic" w:hAnsiTheme="minorHAnsi" w:cs="Times New Roman"/>
          <w:b/>
          <w:bCs/>
          <w:color w:val="549A0C"/>
          <w:spacing w:val="0"/>
          <w:sz w:val="26"/>
          <w:szCs w:val="26"/>
          <w:lang w:val="pl-PL"/>
        </w:rPr>
      </w:pPr>
    </w:p>
    <w:p w14:paraId="46A5B4D0" w14:textId="77777777" w:rsidR="00100152" w:rsidRPr="00DE766F" w:rsidRDefault="00100152" w:rsidP="00100152">
      <w:pPr>
        <w:suppressAutoHyphens/>
        <w:spacing w:after="0" w:line="240" w:lineRule="auto"/>
        <w:jc w:val="center"/>
        <w:rPr>
          <w:rFonts w:eastAsia="MS Gothic" w:cs="Times New Roman"/>
          <w:b/>
          <w:bCs/>
          <w:color w:val="549A0C"/>
          <w:spacing w:val="0"/>
          <w:sz w:val="26"/>
          <w:szCs w:val="26"/>
          <w:lang w:val="pl-PL"/>
        </w:rPr>
      </w:pPr>
      <w:r>
        <w:rPr>
          <w:rFonts w:eastAsia="MS Gothic" w:cs="Times New Roman"/>
          <w:b/>
          <w:bCs/>
          <w:color w:val="549A0C"/>
          <w:sz w:val="26"/>
          <w:szCs w:val="26"/>
          <w:lang w:val="pl"/>
        </w:rPr>
        <w:t>W 2022 r. spółka Cellnex zrealizowała przejęcie masztów telekomunikacyjnych CK Hutchison w Wielkiej Brytanii i przedłużyła umowy o świadczenie usług z Telefónica i RTVE w Hiszpanii, z NOS i Digi w Portugalii oraz z BT w Wielkiej Brytanii</w:t>
      </w:r>
    </w:p>
    <w:p w14:paraId="5E1671CB" w14:textId="77777777" w:rsidR="00100152" w:rsidRPr="00DE766F" w:rsidRDefault="00100152" w:rsidP="00100152">
      <w:pPr>
        <w:suppressAutoHyphens/>
        <w:spacing w:after="0" w:line="240" w:lineRule="auto"/>
        <w:jc w:val="center"/>
        <w:rPr>
          <w:rFonts w:asciiTheme="minorHAnsi" w:eastAsia="MS Gothic" w:hAnsiTheme="minorHAnsi" w:cs="Times New Roman"/>
          <w:b/>
          <w:bCs/>
          <w:color w:val="549A0C"/>
          <w:spacing w:val="0"/>
          <w:sz w:val="26"/>
          <w:szCs w:val="26"/>
          <w:lang w:val="pl-PL"/>
        </w:rPr>
      </w:pPr>
    </w:p>
    <w:p w14:paraId="1E18579C" w14:textId="77777777" w:rsidR="00100152" w:rsidRPr="00DE766F" w:rsidRDefault="00100152" w:rsidP="00100152">
      <w:pPr>
        <w:suppressAutoHyphens/>
        <w:spacing w:after="0" w:line="240" w:lineRule="auto"/>
        <w:jc w:val="center"/>
        <w:rPr>
          <w:rFonts w:eastAsia="MS Gothic" w:cs="Times New Roman"/>
          <w:b/>
          <w:bCs/>
          <w:color w:val="549A0C"/>
          <w:spacing w:val="0"/>
          <w:sz w:val="26"/>
          <w:szCs w:val="26"/>
          <w:lang w:val="pl-PL"/>
        </w:rPr>
      </w:pPr>
      <w:r>
        <w:rPr>
          <w:rFonts w:eastAsia="MS Gothic" w:cs="Times New Roman"/>
          <w:b/>
          <w:bCs/>
          <w:color w:val="549A0C"/>
          <w:sz w:val="26"/>
          <w:szCs w:val="26"/>
          <w:lang w:val="pl"/>
        </w:rPr>
        <w:t>Oczekuje się, że przychody w 2023 r. będą wynosić między 4,1 mld a 4,3 mld EUR, EBITDA około 3 mld EUR, a cykliczne lewarowane wolne przepływy pieniężne między 1,525 a 1,625 mld EUR</w:t>
      </w:r>
    </w:p>
    <w:p w14:paraId="26E5AD80" w14:textId="77777777" w:rsidR="00100152" w:rsidRPr="00100152" w:rsidRDefault="00100152" w:rsidP="00100152">
      <w:pPr>
        <w:pStyle w:val="Akapitzlist"/>
        <w:suppressAutoHyphens/>
        <w:spacing w:before="120" w:after="100" w:afterAutospacing="1" w:line="240" w:lineRule="auto"/>
        <w:ind w:left="0" w:right="-171"/>
        <w:jc w:val="center"/>
        <w:rPr>
          <w:rFonts w:asciiTheme="minorHAnsi" w:hAnsiTheme="minorHAnsi"/>
          <w:b/>
          <w:color w:val="70AD47" w:themeColor="accent6"/>
          <w:spacing w:val="0"/>
          <w:sz w:val="26"/>
          <w:szCs w:val="26"/>
        </w:rPr>
      </w:pPr>
      <w:r>
        <w:rPr>
          <w:rFonts w:asciiTheme="minorHAnsi" w:hAnsiTheme="minorHAnsi"/>
          <w:b/>
          <w:bCs/>
          <w:noProof/>
          <w:color w:val="70AD47" w:themeColor="accent6"/>
          <w:sz w:val="26"/>
          <w:szCs w:val="26"/>
          <w:lang w:val="pl"/>
        </w:rPr>
        <mc:AlternateContent>
          <mc:Choice Requires="wps">
            <w:drawing>
              <wp:inline distT="0" distB="0" distL="0" distR="0" wp14:anchorId="08644F23" wp14:editId="0B3CAE43">
                <wp:extent cx="5938520" cy="0"/>
                <wp:effectExtent l="8255" t="9525" r="6350" b="9525"/>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8520" cy="0"/>
                        </a:xfrm>
                        <a:prstGeom prst="line">
                          <a:avLst/>
                        </a:prstGeom>
                        <a:noFill/>
                        <a:ln w="9525">
                          <a:solidFill>
                            <a:srgbClr val="549A0C"/>
                          </a:solidFill>
                          <a:round/>
                          <a:headEnd/>
                          <a:tailEnd/>
                        </a:ln>
                        <a:extLst>
                          <a:ext uri="{909E8E84-426E-40dd-AFC4-6F175D3DCCD1}">
                            <a14:hiddenFill xmlns:pic="http://schemas.openxmlformats.org/drawingml/2006/picture" xmlns:mv="urn:schemas-microsoft-com:mac:vml" xmlns:mo="http://schemas.microsoft.com/office/mac/office/2008/main" xmlns:arto="http://schemas.microsoft.com/office/word/2006/arto" xmlns:a14="http://schemas.microsoft.com/office/drawing/2010/main" xmlns="" xmlns:w="http://schemas.openxmlformats.org/wordprocessingml/2006/main" xmlns:w10="urn:schemas-microsoft-com:office:word" xmlns:v="urn:schemas-microsoft-com:vml" xmlns:oel="http://schemas.microsoft.com/office/2019/extlst" xmlns:o="urn:schemas-microsoft-com:office:office">
                              <a:noFill/>
                            </a14:hiddenFill>
                          </a:ext>
                        </a:extLst>
                      </wps:spPr>
                      <wps:bodyPr/>
                    </wps:wsp>
                  </a:graphicData>
                </a:graphic>
              </wp:inline>
            </w:drawing>
          </mc:Choice>
          <mc:Fallback xmlns:oel="http://schemas.microsoft.com/office/2019/extlst">
            <w:pict>
              <v:line w14:anchorId="2E0F1249" id="Line 22" o:spid="_x0000_s1026" style="flip:y;visibility:visible;mso-wrap-style:square;mso-left-percent:-10001;mso-top-percent:-10001;mso-position-horizontal:absolute;mso-position-horizontal-relative:char;mso-position-vertical:absolute;mso-position-vertical-relative:line;mso-left-percent:-10001;mso-top-percent:-10001" from="0,0" to="46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" strokecolor="#549a0c">
                <w10:anchorlock/>
              </v:line>
            </w:pict>
          </mc:Fallback>
        </mc:AlternateContent>
      </w:r>
    </w:p>
    <w:p w14:paraId="543DD952" w14:textId="77777777" w:rsidR="00100152" w:rsidRPr="00DE766F" w:rsidRDefault="00100152" w:rsidP="00100152">
      <w:pPr>
        <w:pStyle w:val="Cuadrculamedia1-nfasis21"/>
        <w:numPr>
          <w:ilvl w:val="0"/>
          <w:numId w:val="2"/>
        </w:numPr>
        <w:suppressAutoHyphens/>
        <w:spacing w:after="120" w:line="240" w:lineRule="auto"/>
        <w:ind w:left="426" w:hanging="357"/>
        <w:rPr>
          <w:rFonts w:asciiTheme="minorHAnsi" w:hAnsiTheme="minorHAnsi"/>
          <w:b/>
          <w:color w:val="425563"/>
          <w:spacing w:val="0"/>
          <w:sz w:val="24"/>
          <w:szCs w:val="22"/>
          <w:lang w:val="pl-PL"/>
        </w:rPr>
      </w:pPr>
      <w:r>
        <w:rPr>
          <w:rFonts w:asciiTheme="minorHAnsi" w:hAnsiTheme="minorHAnsi"/>
          <w:color w:val="425563"/>
          <w:sz w:val="24"/>
          <w:szCs w:val="22"/>
          <w:lang w:val="pl"/>
        </w:rPr>
        <w:t>Wskaźniki finansowe</w:t>
      </w:r>
      <w:r>
        <w:rPr>
          <w:rStyle w:val="Odwoanieprzypisudolnego"/>
          <w:rFonts w:asciiTheme="minorHAnsi" w:hAnsiTheme="minorHAnsi"/>
          <w:color w:val="425563"/>
          <w:sz w:val="22"/>
          <w:lang w:val="pl"/>
        </w:rPr>
        <w:footnoteReference w:id="2"/>
      </w:r>
      <w:r>
        <w:rPr>
          <w:rFonts w:asciiTheme="minorHAnsi" w:hAnsiTheme="minorHAnsi"/>
          <w:color w:val="425563"/>
          <w:sz w:val="24"/>
          <w:szCs w:val="22"/>
          <w:lang w:val="pl"/>
        </w:rPr>
        <w:t xml:space="preserve"> nadal odzwierciedlają wpływ </w:t>
      </w:r>
      <w:r>
        <w:rPr>
          <w:rFonts w:asciiTheme="minorHAnsi" w:hAnsiTheme="minorHAnsi"/>
          <w:b/>
          <w:bCs/>
          <w:color w:val="425563"/>
          <w:sz w:val="24"/>
          <w:szCs w:val="22"/>
          <w:lang w:val="pl"/>
        </w:rPr>
        <w:t xml:space="preserve">zwiększającego się zasięgu geograficznego spółki </w:t>
      </w:r>
      <w:r>
        <w:rPr>
          <w:rFonts w:asciiTheme="minorHAnsi" w:hAnsiTheme="minorHAnsi"/>
          <w:color w:val="425563"/>
          <w:sz w:val="24"/>
          <w:szCs w:val="22"/>
          <w:lang w:val="pl"/>
        </w:rPr>
        <w:t xml:space="preserve">w wyniku integracji przejęć przeprowadzonych w 2021 r. i 2022 r. </w:t>
      </w:r>
      <w:r>
        <w:rPr>
          <w:rFonts w:asciiTheme="minorHAnsi" w:hAnsiTheme="minorHAnsi"/>
          <w:b/>
          <w:bCs/>
          <w:color w:val="425563"/>
          <w:sz w:val="24"/>
          <w:szCs w:val="22"/>
          <w:lang w:val="pl"/>
        </w:rPr>
        <w:t>oraz siłę działalności organicznej Grupy</w:t>
      </w:r>
      <w:r>
        <w:rPr>
          <w:rFonts w:asciiTheme="minorHAnsi" w:hAnsiTheme="minorHAnsi"/>
          <w:color w:val="425563"/>
          <w:sz w:val="24"/>
          <w:szCs w:val="22"/>
          <w:lang w:val="pl"/>
        </w:rPr>
        <w:t>:</w:t>
      </w:r>
    </w:p>
    <w:p w14:paraId="63C7061D" w14:textId="77777777" w:rsidR="00100152" w:rsidRPr="00DE766F" w:rsidRDefault="00100152" w:rsidP="00100152">
      <w:pPr>
        <w:pStyle w:val="Akapitzlist"/>
        <w:numPr>
          <w:ilvl w:val="0"/>
          <w:numId w:val="2"/>
        </w:numPr>
        <w:suppressAutoHyphens/>
        <w:spacing w:after="120" w:line="240" w:lineRule="auto"/>
        <w:ind w:left="709" w:hanging="357"/>
        <w:rPr>
          <w:rFonts w:asciiTheme="minorHAnsi" w:hAnsiTheme="minorHAnsi"/>
          <w:bCs/>
          <w:color w:val="425563"/>
          <w:spacing w:val="0"/>
          <w:sz w:val="22"/>
          <w:szCs w:val="22"/>
          <w:lang w:val="pl-PL"/>
        </w:rPr>
      </w:pPr>
      <w:r>
        <w:rPr>
          <w:rFonts w:asciiTheme="minorHAnsi" w:hAnsiTheme="minorHAnsi"/>
          <w:b/>
          <w:bCs/>
          <w:color w:val="425563"/>
          <w:sz w:val="22"/>
          <w:szCs w:val="22"/>
          <w:lang w:val="pl"/>
        </w:rPr>
        <w:t>Przychody</w:t>
      </w:r>
      <w:r>
        <w:rPr>
          <w:rStyle w:val="Odwoanieprzypisudolnego"/>
          <w:rFonts w:asciiTheme="minorHAnsi" w:hAnsiTheme="minorHAnsi"/>
          <w:b/>
          <w:bCs/>
          <w:color w:val="425563"/>
          <w:sz w:val="22"/>
          <w:szCs w:val="22"/>
          <w:lang w:val="pl"/>
        </w:rPr>
        <w:footnoteReference w:id="3"/>
      </w:r>
      <w:r>
        <w:rPr>
          <w:rFonts w:asciiTheme="minorHAnsi" w:hAnsiTheme="minorHAnsi"/>
          <w:color w:val="425563"/>
          <w:sz w:val="22"/>
          <w:szCs w:val="22"/>
          <w:lang w:val="pl"/>
        </w:rPr>
        <w:t xml:space="preserve"> wyniosły </w:t>
      </w:r>
      <w:r>
        <w:rPr>
          <w:rFonts w:asciiTheme="minorHAnsi" w:hAnsiTheme="minorHAnsi"/>
          <w:b/>
          <w:bCs/>
          <w:color w:val="425563"/>
          <w:sz w:val="22"/>
          <w:szCs w:val="22"/>
          <w:lang w:val="pl"/>
        </w:rPr>
        <w:t>3,499 mld EUR</w:t>
      </w:r>
      <w:r>
        <w:rPr>
          <w:rFonts w:asciiTheme="minorHAnsi" w:hAnsiTheme="minorHAnsi"/>
          <w:color w:val="425563"/>
          <w:sz w:val="22"/>
          <w:szCs w:val="22"/>
          <w:lang w:val="pl"/>
        </w:rPr>
        <w:t xml:space="preserve"> (w porównaniu z 2,536 mld EUR w 2021 r.); </w:t>
      </w:r>
      <w:r>
        <w:rPr>
          <w:rFonts w:asciiTheme="minorHAnsi" w:hAnsiTheme="minorHAnsi"/>
          <w:b/>
          <w:bCs/>
          <w:color w:val="425563"/>
          <w:sz w:val="22"/>
          <w:szCs w:val="22"/>
          <w:lang w:val="pl"/>
        </w:rPr>
        <w:t>skorygowany wskaźnik EBITDA</w:t>
      </w:r>
      <w:r>
        <w:rPr>
          <w:rFonts w:asciiTheme="minorHAnsi" w:hAnsiTheme="minorHAnsi"/>
          <w:color w:val="425563"/>
          <w:sz w:val="22"/>
          <w:szCs w:val="22"/>
          <w:lang w:val="pl"/>
        </w:rPr>
        <w:t xml:space="preserve"> wyniósł</w:t>
      </w:r>
      <w:r>
        <w:rPr>
          <w:rFonts w:asciiTheme="minorHAnsi" w:hAnsiTheme="minorHAnsi"/>
          <w:b/>
          <w:bCs/>
          <w:color w:val="425563"/>
          <w:sz w:val="22"/>
          <w:szCs w:val="22"/>
          <w:lang w:val="pl"/>
        </w:rPr>
        <w:t xml:space="preserve"> 2,630 mld EUR</w:t>
      </w:r>
      <w:r>
        <w:rPr>
          <w:rFonts w:asciiTheme="minorHAnsi" w:hAnsiTheme="minorHAnsi"/>
          <w:color w:val="425563"/>
          <w:sz w:val="22"/>
          <w:szCs w:val="22"/>
          <w:lang w:val="pl"/>
        </w:rPr>
        <w:t xml:space="preserve"> (w porównaniu z 1,921 mld EUR w 2021 r.); zaś </w:t>
      </w:r>
      <w:r>
        <w:rPr>
          <w:rFonts w:asciiTheme="minorHAnsi" w:hAnsiTheme="minorHAnsi"/>
          <w:b/>
          <w:bCs/>
          <w:color w:val="425563"/>
          <w:sz w:val="22"/>
          <w:szCs w:val="22"/>
          <w:lang w:val="pl"/>
        </w:rPr>
        <w:t xml:space="preserve">cykliczne lewarowane wolne przepływy pieniężne </w:t>
      </w:r>
      <w:r>
        <w:rPr>
          <w:rFonts w:asciiTheme="minorHAnsi" w:hAnsiTheme="minorHAnsi"/>
          <w:color w:val="425563"/>
          <w:sz w:val="22"/>
          <w:szCs w:val="22"/>
          <w:lang w:val="pl"/>
        </w:rPr>
        <w:t xml:space="preserve">wyniosły </w:t>
      </w:r>
      <w:r>
        <w:rPr>
          <w:rFonts w:asciiTheme="minorHAnsi" w:hAnsiTheme="minorHAnsi"/>
          <w:b/>
          <w:bCs/>
          <w:color w:val="425563"/>
          <w:sz w:val="22"/>
          <w:szCs w:val="22"/>
          <w:lang w:val="pl"/>
        </w:rPr>
        <w:t>1,368 mld EUR</w:t>
      </w:r>
      <w:r>
        <w:rPr>
          <w:rFonts w:asciiTheme="minorHAnsi" w:hAnsiTheme="minorHAnsi"/>
          <w:color w:val="425563"/>
          <w:sz w:val="22"/>
          <w:szCs w:val="22"/>
          <w:lang w:val="pl"/>
        </w:rPr>
        <w:t xml:space="preserve"> (w porównaniu z 981 mln w 2021 r.).</w:t>
      </w:r>
    </w:p>
    <w:p w14:paraId="654272E1" w14:textId="77777777" w:rsidR="00100152" w:rsidRPr="00DE766F" w:rsidRDefault="00100152" w:rsidP="00100152">
      <w:pPr>
        <w:pStyle w:val="Akapitzlist"/>
        <w:suppressAutoHyphens/>
        <w:spacing w:after="120" w:line="240" w:lineRule="auto"/>
        <w:ind w:left="709"/>
        <w:rPr>
          <w:rFonts w:asciiTheme="minorHAnsi" w:hAnsiTheme="minorHAnsi"/>
          <w:color w:val="425563"/>
          <w:spacing w:val="0"/>
          <w:sz w:val="10"/>
          <w:szCs w:val="10"/>
          <w:lang w:val="pl-PL"/>
        </w:rPr>
      </w:pPr>
    </w:p>
    <w:p w14:paraId="413E149B" w14:textId="77777777" w:rsidR="00100152" w:rsidRPr="00DE766F" w:rsidRDefault="00100152" w:rsidP="00100152">
      <w:pPr>
        <w:pStyle w:val="Akapitzlist"/>
        <w:numPr>
          <w:ilvl w:val="0"/>
          <w:numId w:val="2"/>
        </w:numPr>
        <w:suppressAutoHyphens/>
        <w:spacing w:after="120" w:line="240" w:lineRule="auto"/>
        <w:ind w:left="709" w:hanging="357"/>
        <w:rPr>
          <w:bCs/>
          <w:color w:val="425563"/>
          <w:spacing w:val="0"/>
          <w:sz w:val="22"/>
          <w:szCs w:val="22"/>
          <w:lang w:val="pl-PL"/>
        </w:rPr>
      </w:pPr>
      <w:r>
        <w:rPr>
          <w:b/>
          <w:bCs/>
          <w:color w:val="425563"/>
          <w:sz w:val="22"/>
          <w:szCs w:val="22"/>
          <w:lang w:val="pl"/>
        </w:rPr>
        <w:t>Stały wzrost organiczny: +6%</w:t>
      </w:r>
      <w:r>
        <w:rPr>
          <w:color w:val="425563"/>
          <w:sz w:val="22"/>
          <w:szCs w:val="22"/>
          <w:lang w:val="pl"/>
        </w:rPr>
        <w:t xml:space="preserve"> punktów obecności w stacjach bazowych grupy. </w:t>
      </w:r>
    </w:p>
    <w:p w14:paraId="05A9433F" w14:textId="77777777" w:rsidR="00100152" w:rsidRPr="00DE766F" w:rsidRDefault="00100152" w:rsidP="00100152">
      <w:pPr>
        <w:pStyle w:val="Cuadrculamedia1-nfasis21"/>
        <w:numPr>
          <w:ilvl w:val="0"/>
          <w:numId w:val="2"/>
        </w:numPr>
        <w:suppressAutoHyphens/>
        <w:spacing w:after="120" w:line="240" w:lineRule="auto"/>
        <w:rPr>
          <w:rFonts w:asciiTheme="minorHAnsi" w:hAnsiTheme="minorHAnsi"/>
          <w:b/>
          <w:color w:val="425563"/>
          <w:spacing w:val="0"/>
          <w:sz w:val="22"/>
          <w:szCs w:val="22"/>
          <w:lang w:val="pl-PL"/>
        </w:rPr>
      </w:pPr>
      <w:r>
        <w:rPr>
          <w:rFonts w:asciiTheme="minorHAnsi" w:hAnsiTheme="minorHAnsi"/>
          <w:b/>
          <w:bCs/>
          <w:color w:val="425563"/>
          <w:sz w:val="22"/>
          <w:szCs w:val="22"/>
          <w:lang w:val="pl"/>
        </w:rPr>
        <w:t xml:space="preserve">Zaległe zamówienia </w:t>
      </w:r>
      <w:r>
        <w:rPr>
          <w:rFonts w:asciiTheme="minorHAnsi" w:hAnsiTheme="minorHAnsi"/>
          <w:color w:val="425563"/>
          <w:sz w:val="22"/>
          <w:szCs w:val="22"/>
          <w:lang w:val="pl"/>
        </w:rPr>
        <w:t xml:space="preserve">w ramach </w:t>
      </w:r>
      <w:r>
        <w:rPr>
          <w:rFonts w:asciiTheme="minorHAnsi" w:hAnsiTheme="minorHAnsi"/>
          <w:b/>
          <w:bCs/>
          <w:color w:val="425563"/>
          <w:sz w:val="22"/>
          <w:szCs w:val="22"/>
          <w:lang w:val="pl"/>
        </w:rPr>
        <w:t>uzgodnionej przyszłej sprzedaży</w:t>
      </w:r>
      <w:r>
        <w:rPr>
          <w:rFonts w:asciiTheme="minorHAnsi" w:hAnsiTheme="minorHAnsi"/>
          <w:color w:val="425563"/>
          <w:sz w:val="22"/>
          <w:szCs w:val="22"/>
          <w:lang w:val="pl"/>
        </w:rPr>
        <w:t xml:space="preserve"> to </w:t>
      </w:r>
      <w:r>
        <w:rPr>
          <w:rFonts w:asciiTheme="minorHAnsi" w:hAnsiTheme="minorHAnsi"/>
          <w:b/>
          <w:bCs/>
          <w:color w:val="425563"/>
          <w:sz w:val="22"/>
          <w:szCs w:val="22"/>
          <w:lang w:val="pl"/>
        </w:rPr>
        <w:t>110 mld EUR.</w:t>
      </w:r>
    </w:p>
    <w:p w14:paraId="49857F8F" w14:textId="77777777" w:rsidR="00100152" w:rsidRPr="00DE766F" w:rsidRDefault="00100152" w:rsidP="00100152">
      <w:pPr>
        <w:pStyle w:val="Cuadrculamedia1-nfasis21"/>
        <w:numPr>
          <w:ilvl w:val="0"/>
          <w:numId w:val="2"/>
        </w:numPr>
        <w:suppressAutoHyphens/>
        <w:spacing w:after="120" w:line="240" w:lineRule="auto"/>
        <w:ind w:left="426" w:hanging="357"/>
        <w:rPr>
          <w:rFonts w:asciiTheme="minorHAnsi" w:hAnsiTheme="minorHAnsi"/>
          <w:b/>
          <w:bCs/>
          <w:color w:val="425563"/>
          <w:spacing w:val="0"/>
          <w:sz w:val="24"/>
          <w:szCs w:val="24"/>
          <w:lang w:val="pl-PL"/>
        </w:rPr>
      </w:pPr>
      <w:r>
        <w:rPr>
          <w:rFonts w:asciiTheme="minorHAnsi" w:hAnsiTheme="minorHAnsi"/>
          <w:b/>
          <w:bCs/>
          <w:color w:val="425563"/>
          <w:sz w:val="24"/>
          <w:szCs w:val="24"/>
          <w:lang w:val="pl"/>
        </w:rPr>
        <w:t>Zadłużenie finansowe netto</w:t>
      </w:r>
      <w:r>
        <w:rPr>
          <w:rStyle w:val="Odwoanieprzypisudolnego"/>
          <w:rFonts w:asciiTheme="minorHAnsi" w:hAnsiTheme="minorHAnsi"/>
          <w:b/>
          <w:bCs/>
          <w:color w:val="425563"/>
          <w:sz w:val="24"/>
          <w:szCs w:val="24"/>
          <w:lang w:val="pl"/>
        </w:rPr>
        <w:footnoteReference w:id="4"/>
      </w:r>
      <w:r>
        <w:rPr>
          <w:rFonts w:asciiTheme="minorHAnsi" w:hAnsiTheme="minorHAnsi"/>
          <w:color w:val="425563"/>
          <w:sz w:val="24"/>
          <w:szCs w:val="24"/>
          <w:lang w:val="pl"/>
        </w:rPr>
        <w:t xml:space="preserve"> na luty 2023 r. wynosi </w:t>
      </w:r>
      <w:r>
        <w:rPr>
          <w:rFonts w:asciiTheme="minorHAnsi" w:hAnsiTheme="minorHAnsi"/>
          <w:b/>
          <w:bCs/>
          <w:color w:val="425563"/>
          <w:sz w:val="24"/>
          <w:szCs w:val="24"/>
          <w:lang w:val="pl"/>
        </w:rPr>
        <w:t>16,9 mld EUR</w:t>
      </w:r>
      <w:r>
        <w:rPr>
          <w:rFonts w:asciiTheme="minorHAnsi" w:hAnsiTheme="minorHAnsi"/>
          <w:color w:val="425563"/>
          <w:sz w:val="24"/>
          <w:szCs w:val="24"/>
          <w:lang w:val="pl"/>
        </w:rPr>
        <w:t xml:space="preserve">. </w:t>
      </w:r>
      <w:r>
        <w:rPr>
          <w:rFonts w:asciiTheme="minorHAnsi" w:hAnsiTheme="minorHAnsi"/>
          <w:b/>
          <w:bCs/>
          <w:color w:val="425563"/>
          <w:sz w:val="24"/>
          <w:szCs w:val="24"/>
          <w:lang w:val="pl"/>
        </w:rPr>
        <w:t xml:space="preserve">77% </w:t>
      </w:r>
      <w:r>
        <w:rPr>
          <w:rFonts w:asciiTheme="minorHAnsi" w:hAnsiTheme="minorHAnsi"/>
          <w:color w:val="425563"/>
          <w:sz w:val="24"/>
          <w:szCs w:val="24"/>
          <w:lang w:val="pl"/>
        </w:rPr>
        <w:t xml:space="preserve">zadłużenia ma </w:t>
      </w:r>
      <w:r>
        <w:rPr>
          <w:rFonts w:asciiTheme="minorHAnsi" w:hAnsiTheme="minorHAnsi"/>
          <w:b/>
          <w:bCs/>
          <w:color w:val="425563"/>
          <w:sz w:val="24"/>
          <w:szCs w:val="24"/>
          <w:lang w:val="pl"/>
        </w:rPr>
        <w:t>oprocentowanie stałe</w:t>
      </w:r>
      <w:r>
        <w:rPr>
          <w:rFonts w:asciiTheme="minorHAnsi" w:hAnsiTheme="minorHAnsi"/>
          <w:color w:val="425563"/>
          <w:sz w:val="22"/>
          <w:szCs w:val="24"/>
          <w:lang w:val="pl"/>
        </w:rPr>
        <w:t xml:space="preserve">. </w:t>
      </w:r>
    </w:p>
    <w:p w14:paraId="217B6938" w14:textId="77777777" w:rsidR="00100152" w:rsidRPr="00DE766F" w:rsidRDefault="00100152" w:rsidP="00100152">
      <w:pPr>
        <w:pStyle w:val="Cuadrculamedia1-nfasis21"/>
        <w:numPr>
          <w:ilvl w:val="0"/>
          <w:numId w:val="2"/>
        </w:numPr>
        <w:suppressAutoHyphens/>
        <w:spacing w:after="120" w:line="240" w:lineRule="auto"/>
        <w:ind w:left="426" w:hanging="357"/>
        <w:rPr>
          <w:rFonts w:asciiTheme="minorHAnsi" w:hAnsiTheme="minorHAnsi"/>
          <w:color w:val="425563"/>
          <w:spacing w:val="0"/>
          <w:sz w:val="24"/>
          <w:szCs w:val="24"/>
          <w:lang w:val="pl-PL"/>
        </w:rPr>
      </w:pPr>
      <w:r>
        <w:rPr>
          <w:rFonts w:asciiTheme="minorHAnsi" w:hAnsiTheme="minorHAnsi"/>
          <w:color w:val="425563"/>
          <w:sz w:val="24"/>
          <w:szCs w:val="24"/>
          <w:lang w:val="pl"/>
        </w:rPr>
        <w:t xml:space="preserve">Wg stanu na luty 2023 r. spółka Cellnex dysponowała </w:t>
      </w:r>
      <w:r>
        <w:rPr>
          <w:rFonts w:asciiTheme="minorHAnsi" w:hAnsiTheme="minorHAnsi"/>
          <w:b/>
          <w:bCs/>
          <w:color w:val="425563"/>
          <w:sz w:val="24"/>
          <w:szCs w:val="24"/>
          <w:lang w:val="pl"/>
        </w:rPr>
        <w:t xml:space="preserve">płynnością natychmiastową </w:t>
      </w:r>
      <w:r>
        <w:rPr>
          <w:rFonts w:asciiTheme="minorHAnsi" w:hAnsiTheme="minorHAnsi"/>
          <w:color w:val="425563"/>
          <w:sz w:val="24"/>
          <w:szCs w:val="24"/>
          <w:lang w:val="pl"/>
        </w:rPr>
        <w:t xml:space="preserve">(środki pieniężne i niewykorzystane instrumenty kredytowe) w kwocie około </w:t>
      </w:r>
      <w:r>
        <w:rPr>
          <w:rFonts w:asciiTheme="minorHAnsi" w:hAnsiTheme="minorHAnsi"/>
          <w:b/>
          <w:bCs/>
          <w:color w:val="425563"/>
          <w:sz w:val="24"/>
          <w:szCs w:val="24"/>
          <w:lang w:val="pl"/>
        </w:rPr>
        <w:t>4,4 mld EUR</w:t>
      </w:r>
      <w:r>
        <w:rPr>
          <w:rFonts w:asciiTheme="minorHAnsi" w:hAnsiTheme="minorHAnsi"/>
          <w:color w:val="425563"/>
          <w:sz w:val="24"/>
          <w:szCs w:val="24"/>
          <w:lang w:val="pl"/>
        </w:rPr>
        <w:t>.</w:t>
      </w:r>
    </w:p>
    <w:p w14:paraId="16803BC6" w14:textId="77777777" w:rsidR="00100152" w:rsidRPr="00DE766F" w:rsidRDefault="00100152" w:rsidP="00100152">
      <w:pPr>
        <w:pStyle w:val="Cuadrculamedia1-nfasis21"/>
        <w:numPr>
          <w:ilvl w:val="0"/>
          <w:numId w:val="2"/>
        </w:numPr>
        <w:suppressAutoHyphens/>
        <w:spacing w:after="120" w:line="240" w:lineRule="auto"/>
        <w:ind w:left="426" w:hanging="357"/>
        <w:rPr>
          <w:rFonts w:asciiTheme="minorHAnsi" w:hAnsiTheme="minorHAnsi"/>
          <w:b/>
          <w:bCs/>
          <w:color w:val="425563"/>
          <w:spacing w:val="0"/>
          <w:sz w:val="24"/>
          <w:szCs w:val="24"/>
          <w:lang w:val="pl-PL"/>
        </w:rPr>
      </w:pPr>
      <w:r>
        <w:rPr>
          <w:rFonts w:asciiTheme="minorHAnsi" w:hAnsiTheme="minorHAnsi"/>
          <w:color w:val="425563"/>
          <w:sz w:val="24"/>
          <w:szCs w:val="24"/>
          <w:lang w:val="pl"/>
        </w:rPr>
        <w:t xml:space="preserve">Spółka </w:t>
      </w:r>
      <w:r>
        <w:rPr>
          <w:rFonts w:asciiTheme="minorHAnsi" w:hAnsiTheme="minorHAnsi"/>
          <w:b/>
          <w:bCs/>
          <w:color w:val="425563"/>
          <w:sz w:val="24"/>
          <w:szCs w:val="24"/>
          <w:lang w:val="pl"/>
        </w:rPr>
        <w:t>osiągnęła</w:t>
      </w:r>
      <w:r>
        <w:rPr>
          <w:rFonts w:asciiTheme="minorHAnsi" w:hAnsiTheme="minorHAnsi"/>
          <w:color w:val="425563"/>
          <w:sz w:val="24"/>
          <w:szCs w:val="24"/>
          <w:lang w:val="pl"/>
        </w:rPr>
        <w:t xml:space="preserve"> główne </w:t>
      </w:r>
      <w:r>
        <w:rPr>
          <w:rFonts w:asciiTheme="minorHAnsi" w:hAnsiTheme="minorHAnsi"/>
          <w:b/>
          <w:bCs/>
          <w:color w:val="425563"/>
          <w:sz w:val="24"/>
          <w:szCs w:val="24"/>
          <w:lang w:val="pl"/>
        </w:rPr>
        <w:t>cele</w:t>
      </w:r>
      <w:r>
        <w:rPr>
          <w:rFonts w:asciiTheme="minorHAnsi" w:hAnsiTheme="minorHAnsi"/>
          <w:color w:val="425563"/>
          <w:sz w:val="24"/>
          <w:szCs w:val="24"/>
          <w:lang w:val="pl"/>
        </w:rPr>
        <w:t xml:space="preserve"> ustalone na 2022 r. w </w:t>
      </w:r>
      <w:r>
        <w:rPr>
          <w:rFonts w:asciiTheme="minorHAnsi" w:hAnsiTheme="minorHAnsi"/>
          <w:b/>
          <w:bCs/>
          <w:color w:val="425563"/>
          <w:sz w:val="24"/>
          <w:szCs w:val="24"/>
          <w:lang w:val="pl"/>
        </w:rPr>
        <w:t xml:space="preserve">Głównym planie ESG </w:t>
      </w:r>
      <w:r>
        <w:rPr>
          <w:rFonts w:asciiTheme="minorHAnsi" w:hAnsiTheme="minorHAnsi"/>
          <w:color w:val="425563"/>
          <w:sz w:val="24"/>
          <w:szCs w:val="24"/>
          <w:lang w:val="pl"/>
        </w:rPr>
        <w:t xml:space="preserve">na lata 2021–2025 w obszarze </w:t>
      </w:r>
      <w:r>
        <w:rPr>
          <w:rFonts w:asciiTheme="minorHAnsi" w:hAnsiTheme="minorHAnsi"/>
          <w:b/>
          <w:bCs/>
          <w:color w:val="425563"/>
          <w:sz w:val="24"/>
          <w:szCs w:val="24"/>
          <w:lang w:val="pl"/>
        </w:rPr>
        <w:t>ochrony środowiska, odpowiedzialności społecznej i ładu korporacyjnego</w:t>
      </w:r>
      <w:r>
        <w:rPr>
          <w:rFonts w:asciiTheme="minorHAnsi" w:hAnsiTheme="minorHAnsi"/>
          <w:color w:val="425563"/>
          <w:sz w:val="24"/>
          <w:szCs w:val="24"/>
          <w:lang w:val="pl"/>
        </w:rPr>
        <w:t xml:space="preserve">; przeprowadziła podwójną analizę istotności; a także </w:t>
      </w:r>
      <w:r>
        <w:rPr>
          <w:rFonts w:asciiTheme="minorHAnsi" w:hAnsiTheme="minorHAnsi"/>
          <w:b/>
          <w:bCs/>
          <w:color w:val="425563"/>
          <w:sz w:val="24"/>
          <w:szCs w:val="24"/>
          <w:lang w:val="pl"/>
        </w:rPr>
        <w:t>została uznana na podstawie najważniejszych wskaźników zrównoważonego rozwoju</w:t>
      </w:r>
      <w:r>
        <w:rPr>
          <w:rFonts w:asciiTheme="minorHAnsi" w:hAnsiTheme="minorHAnsi"/>
          <w:color w:val="425563"/>
          <w:sz w:val="24"/>
          <w:szCs w:val="24"/>
          <w:lang w:val="pl"/>
        </w:rPr>
        <w:t xml:space="preserve"> za jedną z wiodących spółek w tym sektorze pod względem </w:t>
      </w:r>
      <w:r>
        <w:rPr>
          <w:rFonts w:asciiTheme="minorHAnsi" w:hAnsiTheme="minorHAnsi"/>
          <w:color w:val="425563"/>
          <w:sz w:val="24"/>
          <w:szCs w:val="24"/>
          <w:lang w:val="pl"/>
        </w:rPr>
        <w:lastRenderedPageBreak/>
        <w:t>działań mających na celu walkę ze zmianami klimatu oraz promowanie równości, różnorodności i </w:t>
      </w:r>
      <w:proofErr w:type="spellStart"/>
      <w:r>
        <w:rPr>
          <w:rFonts w:asciiTheme="minorHAnsi" w:hAnsiTheme="minorHAnsi"/>
          <w:color w:val="425563"/>
          <w:sz w:val="24"/>
          <w:szCs w:val="24"/>
          <w:lang w:val="pl"/>
        </w:rPr>
        <w:t>inkluzywności</w:t>
      </w:r>
      <w:proofErr w:type="spellEnd"/>
      <w:r>
        <w:rPr>
          <w:rFonts w:asciiTheme="minorHAnsi" w:hAnsiTheme="minorHAnsi"/>
          <w:color w:val="425563"/>
          <w:sz w:val="24"/>
          <w:szCs w:val="24"/>
          <w:lang w:val="pl"/>
        </w:rPr>
        <w:t>.</w:t>
      </w:r>
    </w:p>
    <w:p w14:paraId="5081D7C5" w14:textId="77777777" w:rsidR="00100152" w:rsidRPr="00100152" w:rsidRDefault="00100152" w:rsidP="00100152">
      <w:pPr>
        <w:pStyle w:val="Cuadrculamedia1-nfasis21"/>
        <w:numPr>
          <w:ilvl w:val="0"/>
          <w:numId w:val="0"/>
        </w:numPr>
        <w:suppressAutoHyphens/>
        <w:spacing w:after="120" w:line="240" w:lineRule="auto"/>
        <w:rPr>
          <w:rFonts w:asciiTheme="minorHAnsi" w:hAnsiTheme="minorHAnsi"/>
          <w:b/>
          <w:color w:val="425563"/>
          <w:spacing w:val="0"/>
          <w:sz w:val="24"/>
          <w:szCs w:val="24"/>
        </w:rPr>
      </w:pPr>
      <w:r>
        <w:rPr>
          <w:rFonts w:asciiTheme="minorHAnsi" w:hAnsiTheme="minorHAnsi"/>
          <w:b/>
          <w:bCs/>
          <w:noProof/>
          <w:color w:val="425563"/>
          <w:sz w:val="24"/>
          <w:szCs w:val="24"/>
          <w:lang w:val="pl"/>
        </w:rPr>
        <mc:AlternateContent>
          <mc:Choice Requires="wps">
            <w:drawing>
              <wp:inline distT="0" distB="0" distL="0" distR="0" wp14:anchorId="31F5EAD3" wp14:editId="423E7A1E">
                <wp:extent cx="5922645" cy="0"/>
                <wp:effectExtent l="0" t="0" r="20955" b="25400"/>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0"/>
                        </a:xfrm>
                        <a:prstGeom prst="line">
                          <a:avLst/>
                        </a:prstGeom>
                        <a:noFill/>
                        <a:ln w="9525">
                          <a:solidFill>
                            <a:srgbClr val="549A0C"/>
                          </a:solidFill>
                          <a:round/>
                          <a:headEnd/>
                          <a:tailEnd/>
                        </a:ln>
                        <a:extLst>
                          <a:ext uri="{909E8E84-426E-40dd-AFC4-6F175D3DCCD1}">
                            <a14:hiddenFill xmlns:pic="http://schemas.openxmlformats.org/drawingml/2006/picture" xmlns:mv="urn:schemas-microsoft-com:mac:vml" xmlns:mo="http://schemas.microsoft.com/office/mac/office/2008/main" xmlns:arto="http://schemas.microsoft.com/office/word/2006/arto" xmlns:a14="http://schemas.microsoft.com/office/drawing/2010/main" xmlns="" xmlns:w="http://schemas.openxmlformats.org/wordprocessingml/2006/main" xmlns:w10="urn:schemas-microsoft-com:office:word" xmlns:v="urn:schemas-microsoft-com:vml" xmlns:oel="http://schemas.microsoft.com/office/2019/extlst" xmlns:o="urn:schemas-microsoft-com:office:office">
                              <a:noFill/>
                            </a14:hiddenFill>
                          </a:ext>
                        </a:extLst>
                      </wps:spPr>
                      <wps:bodyPr/>
                    </wps:wsp>
                  </a:graphicData>
                </a:graphic>
              </wp:inline>
            </w:drawing>
          </mc:Choice>
          <mc:Fallback xmlns:oel="http://schemas.microsoft.com/office/2019/extlst">
            <w:pict>
              <v:line w14:anchorId="3EE32BF1" id="Line 3" o:spid="_x0000_s1026" style="visibility:visible;mso-wrap-style:square;mso-left-percent:-10001;mso-top-percent:-10001;mso-position-horizontal:absolute;mso-position-horizontal-relative:char;mso-position-vertical:absolute;mso-position-vertical-relative:line;mso-left-percent:-10001;mso-top-percent:-10001" from="0,0" to="46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" strokecolor="#549a0c">
                <w10:anchorlock/>
              </v:line>
            </w:pict>
          </mc:Fallback>
        </mc:AlternateContent>
      </w:r>
    </w:p>
    <w:p w14:paraId="203F8D4A" w14:textId="77777777" w:rsidR="00100152" w:rsidRPr="00DE766F" w:rsidRDefault="00100152" w:rsidP="00100152">
      <w:pPr>
        <w:pStyle w:val="Cuadrculamedia1-nfasis21"/>
        <w:numPr>
          <w:ilvl w:val="0"/>
          <w:numId w:val="0"/>
        </w:numPr>
        <w:suppressAutoHyphens/>
        <w:spacing w:before="120" w:after="120" w:line="240" w:lineRule="auto"/>
        <w:rPr>
          <w:bCs/>
          <w:color w:val="425563"/>
          <w:spacing w:val="0"/>
          <w:sz w:val="22"/>
          <w:szCs w:val="22"/>
          <w:lang w:val="pl-PL"/>
        </w:rPr>
      </w:pPr>
      <w:r>
        <w:rPr>
          <w:b/>
          <w:bCs/>
          <w:color w:val="425563"/>
          <w:sz w:val="22"/>
          <w:szCs w:val="22"/>
          <w:lang w:val="pl"/>
        </w:rPr>
        <w:t xml:space="preserve">Barcelona, 1 marca 2023 r. </w:t>
      </w:r>
      <w:r>
        <w:rPr>
          <w:color w:val="425563"/>
          <w:sz w:val="22"/>
          <w:szCs w:val="22"/>
          <w:lang w:val="pl"/>
        </w:rPr>
        <w:t>Spółka Cellnex Telecom przedstawiła wyniki na zamknięcie roku obrotowego 2022. Przychody wyniosły 3,499 mld EUR (+38%), a skorygowany wskaźnik EBITDA wzrósł do 2,63 mld EUR (+37%), co łącznie odzwierciedla wzrost organiczny i skutek konsolidacji aktywów nabytych w 2021 r. i 2022 r. Cykliczne lewarowane wolne przepływy pieniężne wyniosły 1,368 mld EUR (+39%).</w:t>
      </w:r>
    </w:p>
    <w:p w14:paraId="411C18DD" w14:textId="77777777" w:rsidR="00100152" w:rsidRPr="00DE766F" w:rsidRDefault="00100152" w:rsidP="00100152">
      <w:pPr>
        <w:pStyle w:val="Cuadrculamedia1-nfasis21"/>
        <w:numPr>
          <w:ilvl w:val="0"/>
          <w:numId w:val="0"/>
        </w:numPr>
        <w:suppressAutoHyphens/>
        <w:spacing w:before="120" w:after="120" w:line="240" w:lineRule="auto"/>
        <w:rPr>
          <w:rFonts w:asciiTheme="minorHAnsi" w:hAnsiTheme="minorHAnsi"/>
          <w:color w:val="425563"/>
          <w:spacing w:val="0"/>
          <w:sz w:val="22"/>
          <w:szCs w:val="22"/>
          <w:lang w:val="pl-PL"/>
        </w:rPr>
      </w:pPr>
      <w:r>
        <w:rPr>
          <w:rFonts w:asciiTheme="minorHAnsi" w:hAnsiTheme="minorHAnsi"/>
          <w:color w:val="425563"/>
          <w:sz w:val="22"/>
          <w:szCs w:val="22"/>
          <w:lang w:val="pl"/>
        </w:rPr>
        <w:t>Wynik księgowy netto był ujemny (-297 mln EUR w 2022 r. w porównaniu z -363 mln w  2021 r.) z powodu amortyzacji (+38% w porównaniu z 2021 r.) i kosztów finansowych (+20% w porównaniu z 2021 r.), co było związane z konsolidacją przejęć i integracją w obrębie Grupy oraz wynikającą z tego ekspansją geograficzną.</w:t>
      </w:r>
    </w:p>
    <w:p w14:paraId="6DF2ACFA" w14:textId="77777777" w:rsidR="00100152" w:rsidRPr="00DE766F" w:rsidRDefault="00100152" w:rsidP="00100152">
      <w:pPr>
        <w:pStyle w:val="Cuadrculamedia1-nfasis21"/>
        <w:numPr>
          <w:ilvl w:val="0"/>
          <w:numId w:val="0"/>
        </w:numPr>
        <w:suppressAutoHyphens/>
        <w:spacing w:before="120" w:after="120" w:line="240" w:lineRule="auto"/>
        <w:rPr>
          <w:bCs/>
          <w:color w:val="425563"/>
          <w:spacing w:val="0"/>
          <w:sz w:val="22"/>
          <w:szCs w:val="22"/>
          <w:highlight w:val="yellow"/>
          <w:lang w:val="pl-PL"/>
        </w:rPr>
      </w:pPr>
      <w:r>
        <w:rPr>
          <w:b/>
          <w:bCs/>
          <w:color w:val="425563"/>
          <w:sz w:val="22"/>
          <w:szCs w:val="22"/>
          <w:lang w:val="pl"/>
        </w:rPr>
        <w:t xml:space="preserve">Bertrand Kan, Prezes Cellnex, </w:t>
      </w:r>
      <w:r>
        <w:rPr>
          <w:color w:val="425563"/>
          <w:sz w:val="22"/>
          <w:szCs w:val="22"/>
          <w:lang w:val="pl"/>
        </w:rPr>
        <w:t>powiedział: „Rok 2022 był rokiem zmian dla spółki. Skonsolidowaliśmy nasz rozwój i wzmocniliśmy naszą pozycję jako europejskiego lidera infrastruktury telekomunikacyjnej posiadającego ponad 130 tysięcy stacji bazowych w 12 krajach. Był to również rok niepewności makroekonomicznej chrakteryzującej się wyższą inflacją i stopami procentowymi, a my dostosowaliśmy naszą strategię do bardziej wymagającego środowiska. W listopadzie ogłosiliśmy nową politykę alokacji kapitałowej, aby zoptymalizować nasze zyski, skupiając się bardziej na organicznym rozwoju biznesu. Kluczowym celem planu jest uzyskanie ratingu klasy inwestycyjnej od S&amp;P, oprócz ratingu klasy inwestycyjnej, który już uzyskaliśmy od Fitch. To nowy rozdział naszej ewolucji”.</w:t>
      </w:r>
    </w:p>
    <w:p w14:paraId="11E2D2BB" w14:textId="77777777" w:rsidR="00100152" w:rsidRPr="00DE766F" w:rsidRDefault="00100152" w:rsidP="00100152">
      <w:pPr>
        <w:pStyle w:val="Cuadrculamedia1-nfasis21"/>
        <w:numPr>
          <w:ilvl w:val="0"/>
          <w:numId w:val="0"/>
        </w:numPr>
        <w:suppressAutoHyphens/>
        <w:spacing w:before="120" w:after="120" w:line="240" w:lineRule="auto"/>
        <w:rPr>
          <w:bCs/>
          <w:color w:val="425563"/>
          <w:spacing w:val="0"/>
          <w:sz w:val="22"/>
          <w:szCs w:val="22"/>
          <w:lang w:val="pl-PL"/>
        </w:rPr>
      </w:pPr>
      <w:r>
        <w:rPr>
          <w:b/>
          <w:bCs/>
          <w:color w:val="425563"/>
          <w:sz w:val="22"/>
          <w:szCs w:val="22"/>
          <w:lang w:val="pl"/>
        </w:rPr>
        <w:t xml:space="preserve">Tobias Martinez, Dyrektor wykonawczy spółki Cellnex, </w:t>
      </w:r>
      <w:r>
        <w:rPr>
          <w:color w:val="425563"/>
          <w:sz w:val="22"/>
          <w:szCs w:val="22"/>
          <w:lang w:val="pl"/>
        </w:rPr>
        <w:t>podkreślił, jak „poprzez skuteczną integrację niedawnych przejęć nasze kluczowe wskaźniki finansowe – przychód, EBITDA i cykliczne przepływy pieniężne – urosły o ponad 37%, zgodnie z wytycznymi, które przyjęliśmy na ten rok. Udało nam się również uzyskać znaczny wzrost organiczny zgodnie z naszymi prognozami średnioterminowymi”.</w:t>
      </w:r>
    </w:p>
    <w:p w14:paraId="45BB1697" w14:textId="77777777" w:rsidR="00100152" w:rsidRPr="00DE766F" w:rsidRDefault="00100152" w:rsidP="00100152">
      <w:pPr>
        <w:pStyle w:val="Cuadrculamedia1-nfasis21"/>
        <w:numPr>
          <w:ilvl w:val="0"/>
          <w:numId w:val="0"/>
        </w:numPr>
        <w:suppressAutoHyphens/>
        <w:spacing w:before="120" w:after="120" w:line="240" w:lineRule="auto"/>
        <w:rPr>
          <w:rFonts w:asciiTheme="minorHAnsi" w:hAnsiTheme="minorHAnsi"/>
          <w:color w:val="425563"/>
          <w:spacing w:val="0"/>
          <w:sz w:val="22"/>
          <w:szCs w:val="22"/>
          <w:lang w:val="pl-PL"/>
        </w:rPr>
      </w:pPr>
      <w:r>
        <w:rPr>
          <w:rFonts w:asciiTheme="minorHAnsi" w:hAnsiTheme="minorHAnsi"/>
          <w:color w:val="425563"/>
          <w:sz w:val="22"/>
          <w:szCs w:val="22"/>
          <w:lang w:val="pl"/>
        </w:rPr>
        <w:t xml:space="preserve">„Zmiana środowiska makroekonomicznego”, </w:t>
      </w:r>
      <w:r>
        <w:rPr>
          <w:rFonts w:asciiTheme="minorHAnsi" w:hAnsiTheme="minorHAnsi"/>
          <w:b/>
          <w:bCs/>
          <w:color w:val="425563"/>
          <w:sz w:val="22"/>
          <w:szCs w:val="22"/>
          <w:lang w:val="pl"/>
        </w:rPr>
        <w:t>kontynuował Dyrektor wykonawczy</w:t>
      </w:r>
      <w:r>
        <w:rPr>
          <w:rFonts w:asciiTheme="minorHAnsi" w:hAnsiTheme="minorHAnsi"/>
          <w:color w:val="425563"/>
          <w:sz w:val="22"/>
          <w:szCs w:val="22"/>
          <w:lang w:val="pl"/>
        </w:rPr>
        <w:t>, „w oczywisty sposób miała wpływ na nasze działania, w szczególności na zarządzanie kosztami. Po długim okresie niskiej inflacji w 2022 r. wzrosła ona znacznie na większości rynków. Cellnex ma długoterminowe umowy ze swoimi klientami-operatorami, z których większość obejmuje korekty w oparciu o wskaźnik cen towarów i usług konsumpcyjnych. Chociaż dobrze się to sprawdziło, musieliśmy uważnie zarządzać kosztami. Odczuliśmy również wzrost kosztów finansowania, choć większość naszego zadłużenia ma stałą stopę procentową, co ogranicza wpływ rosnących stóp procentowych na nasze wyniki finansowe”.</w:t>
      </w:r>
    </w:p>
    <w:p w14:paraId="355E83B6" w14:textId="77777777" w:rsidR="00100152" w:rsidRPr="00DE766F" w:rsidRDefault="00100152" w:rsidP="00100152">
      <w:pPr>
        <w:pStyle w:val="Cuadrculamedia1-nfasis21"/>
        <w:numPr>
          <w:ilvl w:val="0"/>
          <w:numId w:val="0"/>
        </w:numPr>
        <w:suppressAutoHyphens/>
        <w:spacing w:before="120" w:after="120"/>
        <w:rPr>
          <w:rFonts w:asciiTheme="minorHAnsi" w:hAnsiTheme="minorHAnsi"/>
          <w:b/>
          <w:bCs/>
          <w:color w:val="425563"/>
          <w:spacing w:val="0"/>
          <w:sz w:val="22"/>
          <w:szCs w:val="22"/>
          <w:lang w:val="pl-PL"/>
        </w:rPr>
      </w:pPr>
    </w:p>
    <w:p w14:paraId="05EFA354" w14:textId="77777777" w:rsidR="00100152" w:rsidRPr="00DE766F" w:rsidRDefault="00100152" w:rsidP="00100152">
      <w:pPr>
        <w:suppressAutoHyphens/>
        <w:spacing w:after="120" w:line="240" w:lineRule="auto"/>
        <w:rPr>
          <w:b/>
          <w:bCs/>
          <w:color w:val="70AD47" w:themeColor="accent6"/>
          <w:spacing w:val="0"/>
          <w:sz w:val="24"/>
          <w:szCs w:val="24"/>
          <w:lang w:val="pl-PL"/>
        </w:rPr>
      </w:pPr>
      <w:r>
        <w:rPr>
          <w:b/>
          <w:bCs/>
          <w:color w:val="70AD47" w:themeColor="accent6"/>
          <w:sz w:val="24"/>
          <w:szCs w:val="24"/>
          <w:lang w:val="pl"/>
        </w:rPr>
        <w:t>Jednostki biznesowe. Najważniejsze wskaźniki za okres</w:t>
      </w:r>
    </w:p>
    <w:p w14:paraId="5559888F" w14:textId="77777777" w:rsidR="00100152" w:rsidRPr="00DE766F" w:rsidRDefault="00100152" w:rsidP="00100152">
      <w:pPr>
        <w:pStyle w:val="Akapitzlist"/>
        <w:numPr>
          <w:ilvl w:val="0"/>
          <w:numId w:val="6"/>
        </w:numPr>
        <w:suppressAutoHyphens/>
        <w:spacing w:after="80" w:line="240" w:lineRule="auto"/>
        <w:ind w:left="714" w:hanging="357"/>
        <w:contextualSpacing w:val="0"/>
        <w:rPr>
          <w:rFonts w:asciiTheme="minorHAnsi" w:hAnsiTheme="minorHAnsi"/>
          <w:bCs/>
          <w:color w:val="425563"/>
          <w:spacing w:val="0"/>
          <w:sz w:val="22"/>
          <w:szCs w:val="22"/>
          <w:lang w:val="pl-PL"/>
        </w:rPr>
      </w:pPr>
      <w:r>
        <w:rPr>
          <w:rFonts w:asciiTheme="minorHAnsi" w:hAnsiTheme="minorHAnsi"/>
          <w:b/>
          <w:bCs/>
          <w:color w:val="425563"/>
          <w:sz w:val="22"/>
          <w:szCs w:val="22"/>
          <w:lang w:val="pl"/>
        </w:rPr>
        <w:t xml:space="preserve">Usługi związane z infrastrukturą dla operatorów sieci komórkowych </w:t>
      </w:r>
      <w:r>
        <w:rPr>
          <w:rFonts w:asciiTheme="minorHAnsi" w:hAnsiTheme="minorHAnsi"/>
          <w:color w:val="425563"/>
          <w:sz w:val="22"/>
          <w:szCs w:val="22"/>
          <w:lang w:val="pl"/>
        </w:rPr>
        <w:t xml:space="preserve">przyniosły </w:t>
      </w:r>
      <w:r>
        <w:rPr>
          <w:rFonts w:asciiTheme="minorHAnsi" w:hAnsiTheme="minorHAnsi"/>
          <w:b/>
          <w:bCs/>
          <w:color w:val="425563"/>
          <w:sz w:val="22"/>
          <w:szCs w:val="22"/>
          <w:lang w:val="pl"/>
        </w:rPr>
        <w:t xml:space="preserve">90,4% </w:t>
      </w:r>
      <w:r>
        <w:rPr>
          <w:rFonts w:asciiTheme="minorHAnsi" w:hAnsiTheme="minorHAnsi"/>
          <w:color w:val="425563"/>
          <w:sz w:val="22"/>
          <w:szCs w:val="22"/>
          <w:lang w:val="pl"/>
        </w:rPr>
        <w:t xml:space="preserve">przychodów (3,163 mld EUR) – o 42,8% więcej niż w 2021 roku. </w:t>
      </w:r>
    </w:p>
    <w:p w14:paraId="66D8B4E2" w14:textId="04739135" w:rsidR="00100152" w:rsidRPr="00DE766F" w:rsidRDefault="00100152" w:rsidP="00100152">
      <w:pPr>
        <w:pStyle w:val="Akapitzlist"/>
        <w:numPr>
          <w:ilvl w:val="0"/>
          <w:numId w:val="6"/>
        </w:numPr>
        <w:suppressAutoHyphens/>
        <w:spacing w:after="80" w:line="240" w:lineRule="auto"/>
        <w:ind w:left="714" w:hanging="357"/>
        <w:contextualSpacing w:val="0"/>
        <w:rPr>
          <w:rFonts w:asciiTheme="minorHAnsi" w:hAnsiTheme="minorHAnsi"/>
          <w:bCs/>
          <w:color w:val="425563"/>
          <w:spacing w:val="0"/>
          <w:sz w:val="22"/>
          <w:szCs w:val="22"/>
          <w:lang w:val="pl-PL"/>
        </w:rPr>
      </w:pPr>
      <w:r>
        <w:rPr>
          <w:rFonts w:asciiTheme="minorHAnsi" w:hAnsiTheme="minorHAnsi"/>
          <w:color w:val="425563"/>
          <w:sz w:val="22"/>
          <w:szCs w:val="22"/>
          <w:lang w:val="pl"/>
        </w:rPr>
        <w:t xml:space="preserve">Działalność w sektorze </w:t>
      </w:r>
      <w:r>
        <w:rPr>
          <w:rFonts w:asciiTheme="minorHAnsi" w:hAnsiTheme="minorHAnsi"/>
          <w:b/>
          <w:bCs/>
          <w:color w:val="425563"/>
          <w:sz w:val="22"/>
          <w:szCs w:val="22"/>
          <w:lang w:val="pl"/>
        </w:rPr>
        <w:t>infrastruktury nadawczej</w:t>
      </w:r>
      <w:r>
        <w:rPr>
          <w:rFonts w:asciiTheme="minorHAnsi" w:hAnsiTheme="minorHAnsi"/>
          <w:color w:val="425563"/>
          <w:sz w:val="22"/>
          <w:szCs w:val="22"/>
          <w:lang w:val="pl"/>
        </w:rPr>
        <w:t xml:space="preserve"> </w:t>
      </w:r>
      <w:r w:rsidR="00DE766F">
        <w:rPr>
          <w:rFonts w:asciiTheme="minorHAnsi" w:hAnsiTheme="minorHAnsi"/>
          <w:color w:val="425563"/>
          <w:sz w:val="22"/>
          <w:szCs w:val="22"/>
          <w:lang w:val="pl"/>
        </w:rPr>
        <w:t>odpowiada za</w:t>
      </w:r>
      <w:r>
        <w:rPr>
          <w:rFonts w:asciiTheme="minorHAnsi" w:hAnsiTheme="minorHAnsi"/>
          <w:color w:val="425563"/>
          <w:sz w:val="22"/>
          <w:szCs w:val="22"/>
          <w:lang w:val="pl"/>
        </w:rPr>
        <w:t xml:space="preserve"> </w:t>
      </w:r>
      <w:r>
        <w:rPr>
          <w:rFonts w:asciiTheme="minorHAnsi" w:hAnsiTheme="minorHAnsi"/>
          <w:b/>
          <w:bCs/>
          <w:color w:val="425563"/>
          <w:sz w:val="22"/>
          <w:szCs w:val="22"/>
          <w:lang w:val="pl"/>
        </w:rPr>
        <w:t>6,4%</w:t>
      </w:r>
      <w:r>
        <w:rPr>
          <w:rFonts w:asciiTheme="minorHAnsi" w:hAnsiTheme="minorHAnsi"/>
          <w:color w:val="425563"/>
          <w:sz w:val="22"/>
          <w:szCs w:val="22"/>
          <w:lang w:val="pl"/>
        </w:rPr>
        <w:t xml:space="preserve"> przychodów, na poziomie 224 mln EUR. </w:t>
      </w:r>
    </w:p>
    <w:p w14:paraId="22A02143" w14:textId="5ACBB016" w:rsidR="00100152" w:rsidRPr="00DE766F" w:rsidRDefault="00100152" w:rsidP="00100152">
      <w:pPr>
        <w:pStyle w:val="Akapitzlist"/>
        <w:numPr>
          <w:ilvl w:val="0"/>
          <w:numId w:val="6"/>
        </w:numPr>
        <w:suppressAutoHyphens/>
        <w:spacing w:after="80" w:line="240" w:lineRule="auto"/>
        <w:ind w:left="714" w:hanging="357"/>
        <w:rPr>
          <w:rFonts w:asciiTheme="minorHAnsi" w:hAnsiTheme="minorHAnsi"/>
          <w:color w:val="425563"/>
          <w:spacing w:val="0"/>
          <w:sz w:val="22"/>
          <w:szCs w:val="22"/>
          <w:lang w:val="pl-PL"/>
        </w:rPr>
      </w:pPr>
      <w:r>
        <w:rPr>
          <w:rFonts w:asciiTheme="minorHAnsi" w:hAnsiTheme="minorHAnsi"/>
          <w:color w:val="425563"/>
          <w:sz w:val="22"/>
          <w:szCs w:val="22"/>
          <w:lang w:val="pl"/>
        </w:rPr>
        <w:t>Działalność związana z </w:t>
      </w:r>
      <w:r>
        <w:rPr>
          <w:rFonts w:asciiTheme="minorHAnsi" w:hAnsiTheme="minorHAnsi"/>
          <w:b/>
          <w:bCs/>
          <w:color w:val="425563"/>
          <w:sz w:val="22"/>
          <w:szCs w:val="22"/>
          <w:lang w:val="pl"/>
        </w:rPr>
        <w:t xml:space="preserve">sieciami bezpieczeństwa i sieciami służb ratunkowych oraz rozwiązaniami w zakresie inteligentnego zarządzania infrastrukturą miejską </w:t>
      </w:r>
      <w:r>
        <w:rPr>
          <w:rFonts w:asciiTheme="minorHAnsi" w:hAnsiTheme="minorHAnsi"/>
          <w:color w:val="425563"/>
          <w:sz w:val="22"/>
          <w:szCs w:val="22"/>
          <w:lang w:val="pl"/>
        </w:rPr>
        <w:t xml:space="preserve">(IoT i Smart </w:t>
      </w:r>
      <w:proofErr w:type="spellStart"/>
      <w:r>
        <w:rPr>
          <w:rFonts w:asciiTheme="minorHAnsi" w:hAnsiTheme="minorHAnsi"/>
          <w:color w:val="425563"/>
          <w:sz w:val="22"/>
          <w:szCs w:val="22"/>
          <w:lang w:val="pl"/>
        </w:rPr>
        <w:t>Cities</w:t>
      </w:r>
      <w:proofErr w:type="spellEnd"/>
      <w:r>
        <w:rPr>
          <w:rFonts w:asciiTheme="minorHAnsi" w:hAnsiTheme="minorHAnsi"/>
          <w:color w:val="425563"/>
          <w:sz w:val="22"/>
          <w:szCs w:val="22"/>
          <w:lang w:val="pl"/>
        </w:rPr>
        <w:t xml:space="preserve">) </w:t>
      </w:r>
      <w:r w:rsidR="00DE766F">
        <w:rPr>
          <w:rFonts w:asciiTheme="minorHAnsi" w:hAnsiTheme="minorHAnsi"/>
          <w:color w:val="425563"/>
          <w:sz w:val="22"/>
          <w:szCs w:val="22"/>
          <w:lang w:val="pl"/>
        </w:rPr>
        <w:t>odpowiada za</w:t>
      </w:r>
      <w:r>
        <w:rPr>
          <w:rFonts w:asciiTheme="minorHAnsi" w:hAnsiTheme="minorHAnsi"/>
          <w:color w:val="425563"/>
          <w:sz w:val="22"/>
          <w:szCs w:val="22"/>
          <w:lang w:val="pl"/>
        </w:rPr>
        <w:t xml:space="preserve"> </w:t>
      </w:r>
      <w:r>
        <w:rPr>
          <w:rFonts w:asciiTheme="minorHAnsi" w:hAnsiTheme="minorHAnsi"/>
          <w:b/>
          <w:bCs/>
          <w:color w:val="425563"/>
          <w:sz w:val="22"/>
          <w:szCs w:val="22"/>
          <w:lang w:val="pl"/>
        </w:rPr>
        <w:t>3,2%</w:t>
      </w:r>
      <w:r>
        <w:rPr>
          <w:rFonts w:asciiTheme="minorHAnsi" w:hAnsiTheme="minorHAnsi"/>
          <w:color w:val="425563"/>
          <w:sz w:val="22"/>
          <w:szCs w:val="22"/>
          <w:lang w:val="pl"/>
        </w:rPr>
        <w:t xml:space="preserve"> przychodu, dając łącznie 112 mln EUR.</w:t>
      </w:r>
    </w:p>
    <w:p w14:paraId="7428D50A" w14:textId="77777777" w:rsidR="00100152" w:rsidRPr="00DE766F" w:rsidRDefault="00100152" w:rsidP="00100152">
      <w:pPr>
        <w:pStyle w:val="Cuadrculamedia1-nfasis21"/>
        <w:numPr>
          <w:ilvl w:val="0"/>
          <w:numId w:val="6"/>
        </w:numPr>
        <w:suppressAutoHyphens/>
        <w:spacing w:after="80" w:line="240" w:lineRule="auto"/>
        <w:rPr>
          <w:bCs/>
          <w:color w:val="425563"/>
          <w:spacing w:val="0"/>
          <w:sz w:val="22"/>
          <w:szCs w:val="22"/>
          <w:lang w:val="pl-PL"/>
        </w:rPr>
      </w:pPr>
      <w:r>
        <w:rPr>
          <w:b/>
          <w:bCs/>
          <w:color w:val="425563"/>
          <w:sz w:val="22"/>
          <w:szCs w:val="22"/>
          <w:lang w:val="pl"/>
        </w:rPr>
        <w:t>Na dzień 31 grudnia</w:t>
      </w:r>
      <w:r>
        <w:rPr>
          <w:color w:val="425563"/>
          <w:sz w:val="22"/>
          <w:szCs w:val="22"/>
          <w:lang w:val="pl"/>
        </w:rPr>
        <w:t xml:space="preserve"> spółka Cellnex miała łącznie </w:t>
      </w:r>
      <w:r>
        <w:rPr>
          <w:b/>
          <w:bCs/>
          <w:color w:val="425563"/>
          <w:sz w:val="22"/>
          <w:szCs w:val="22"/>
          <w:lang w:val="pl"/>
        </w:rPr>
        <w:t xml:space="preserve">110 830 sprawnych stacji bazowych </w:t>
      </w:r>
      <w:r>
        <w:rPr>
          <w:color w:val="425563"/>
          <w:sz w:val="22"/>
          <w:szCs w:val="22"/>
          <w:lang w:val="pl"/>
        </w:rPr>
        <w:t xml:space="preserve">(bez uwzględniania 19 759 stacji bazowych, których uruchomienie jest planowane do 2030 r.): 4529 w Austrii, 1563 w Danii, 10 462 w Hiszpanii, 24 598 we Francji, 1921 w Irlandii, 21 287 we Włoszech, 4079 w Holandii, 15 298 w Polsce, 6398 w Portugalii, 12 410 w Wielkiej Brytanii, 2864 w Szwecji oraz 5421 w Szwajcarii; </w:t>
      </w:r>
      <w:r>
        <w:rPr>
          <w:b/>
          <w:bCs/>
          <w:color w:val="425563"/>
          <w:sz w:val="22"/>
          <w:szCs w:val="22"/>
          <w:lang w:val="pl"/>
        </w:rPr>
        <w:t>a oprócz tego 7539 węzłów DAS i stacji bazowych o małej mocy</w:t>
      </w:r>
      <w:r>
        <w:rPr>
          <w:color w:val="425563"/>
          <w:sz w:val="22"/>
          <w:szCs w:val="22"/>
          <w:lang w:val="pl"/>
        </w:rPr>
        <w:t xml:space="preserve">. </w:t>
      </w:r>
    </w:p>
    <w:p w14:paraId="5D81C855" w14:textId="77777777" w:rsidR="00100152" w:rsidRPr="00DE766F" w:rsidRDefault="00100152" w:rsidP="00100152">
      <w:pPr>
        <w:pStyle w:val="Cuadrculamedia1-nfasis21"/>
        <w:numPr>
          <w:ilvl w:val="0"/>
          <w:numId w:val="6"/>
        </w:numPr>
        <w:suppressAutoHyphens/>
        <w:spacing w:after="80" w:line="240" w:lineRule="auto"/>
        <w:ind w:left="714" w:hanging="357"/>
        <w:rPr>
          <w:bCs/>
          <w:color w:val="425563"/>
          <w:spacing w:val="0"/>
          <w:sz w:val="22"/>
          <w:szCs w:val="22"/>
          <w:lang w:val="pl-PL"/>
        </w:rPr>
      </w:pPr>
      <w:r>
        <w:rPr>
          <w:b/>
          <w:bCs/>
          <w:color w:val="425563"/>
          <w:sz w:val="22"/>
          <w:szCs w:val="22"/>
          <w:lang w:val="pl"/>
        </w:rPr>
        <w:lastRenderedPageBreak/>
        <w:t xml:space="preserve">Wzrost organiczny </w:t>
      </w:r>
      <w:r>
        <w:rPr>
          <w:color w:val="425563"/>
          <w:sz w:val="22"/>
          <w:szCs w:val="22"/>
          <w:lang w:val="pl"/>
        </w:rPr>
        <w:t xml:space="preserve">pod względem </w:t>
      </w:r>
      <w:r>
        <w:rPr>
          <w:b/>
          <w:bCs/>
          <w:color w:val="425563"/>
          <w:sz w:val="22"/>
          <w:szCs w:val="22"/>
          <w:lang w:val="pl"/>
        </w:rPr>
        <w:t xml:space="preserve">punktów obecności </w:t>
      </w:r>
      <w:r>
        <w:rPr>
          <w:color w:val="425563"/>
          <w:sz w:val="22"/>
          <w:szCs w:val="22"/>
          <w:lang w:val="pl"/>
        </w:rPr>
        <w:t>w stacjach bazowych był wyższy o </w:t>
      </w:r>
      <w:r>
        <w:rPr>
          <w:b/>
          <w:bCs/>
          <w:color w:val="425563"/>
          <w:sz w:val="22"/>
          <w:szCs w:val="22"/>
          <w:lang w:val="pl"/>
        </w:rPr>
        <w:t xml:space="preserve">6% </w:t>
      </w:r>
      <w:r>
        <w:rPr>
          <w:color w:val="425563"/>
          <w:sz w:val="22"/>
          <w:szCs w:val="22"/>
          <w:lang w:val="pl"/>
        </w:rPr>
        <w:t>rok do roku, z uwzględnieniem efektu uruchomienia nowych stacji bazowych w tym okresie.</w:t>
      </w:r>
    </w:p>
    <w:p w14:paraId="56EF4DB4" w14:textId="77777777" w:rsidR="00100152" w:rsidRPr="00DE766F" w:rsidRDefault="00100152" w:rsidP="00100152">
      <w:pPr>
        <w:suppressAutoHyphens/>
        <w:spacing w:line="240" w:lineRule="auto"/>
        <w:jc w:val="left"/>
        <w:rPr>
          <w:rFonts w:asciiTheme="minorHAnsi" w:hAnsiTheme="minorHAnsi"/>
          <w:b/>
          <w:color w:val="70AD47" w:themeColor="accent6"/>
          <w:spacing w:val="0"/>
          <w:sz w:val="12"/>
          <w:szCs w:val="12"/>
          <w:lang w:val="pl-PL"/>
        </w:rPr>
      </w:pPr>
    </w:p>
    <w:p w14:paraId="3584D0A7" w14:textId="77777777" w:rsidR="00100152" w:rsidRPr="00100152" w:rsidRDefault="00100152" w:rsidP="00100152">
      <w:pPr>
        <w:suppressAutoHyphens/>
        <w:spacing w:line="240" w:lineRule="auto"/>
        <w:jc w:val="left"/>
        <w:rPr>
          <w:b/>
          <w:bCs/>
          <w:color w:val="70AD47" w:themeColor="accent6"/>
          <w:spacing w:val="0"/>
          <w:sz w:val="24"/>
          <w:szCs w:val="24"/>
        </w:rPr>
      </w:pPr>
      <w:r>
        <w:rPr>
          <w:b/>
          <w:bCs/>
          <w:color w:val="70AD47" w:themeColor="accent6"/>
          <w:sz w:val="24"/>
          <w:szCs w:val="24"/>
          <w:lang w:val="pl"/>
        </w:rPr>
        <w:t>Struktura finansowa</w:t>
      </w:r>
    </w:p>
    <w:p w14:paraId="43455D7A" w14:textId="77777777" w:rsidR="00100152" w:rsidRPr="00DE766F" w:rsidRDefault="00100152" w:rsidP="00100152">
      <w:pPr>
        <w:pStyle w:val="Akapitzlist"/>
        <w:numPr>
          <w:ilvl w:val="0"/>
          <w:numId w:val="7"/>
        </w:numPr>
        <w:suppressAutoHyphens/>
        <w:rPr>
          <w:rFonts w:asciiTheme="minorHAnsi" w:hAnsiTheme="minorHAnsi"/>
          <w:color w:val="425563"/>
          <w:spacing w:val="0"/>
          <w:sz w:val="22"/>
          <w:szCs w:val="22"/>
          <w:lang w:val="pl-PL"/>
        </w:rPr>
      </w:pPr>
      <w:r>
        <w:rPr>
          <w:rFonts w:asciiTheme="minorHAnsi" w:hAnsiTheme="minorHAnsi"/>
          <w:b/>
          <w:bCs/>
          <w:color w:val="425563"/>
          <w:sz w:val="22"/>
          <w:szCs w:val="22"/>
          <w:lang w:val="pl"/>
        </w:rPr>
        <w:t xml:space="preserve">Zadłużenie </w:t>
      </w:r>
      <w:r>
        <w:rPr>
          <w:rFonts w:asciiTheme="minorHAnsi" w:hAnsiTheme="minorHAnsi"/>
          <w:color w:val="425563"/>
          <w:sz w:val="22"/>
          <w:szCs w:val="22"/>
          <w:lang w:val="pl"/>
        </w:rPr>
        <w:t>finansowe</w:t>
      </w:r>
      <w:r>
        <w:rPr>
          <w:rFonts w:asciiTheme="minorHAnsi" w:hAnsiTheme="minorHAnsi"/>
          <w:b/>
          <w:bCs/>
          <w:color w:val="425563"/>
          <w:sz w:val="22"/>
          <w:szCs w:val="22"/>
          <w:lang w:val="pl"/>
        </w:rPr>
        <w:t xml:space="preserve"> netto</w:t>
      </w:r>
      <w:r>
        <w:rPr>
          <w:rFonts w:asciiTheme="minorHAnsi" w:hAnsiTheme="minorHAnsi"/>
          <w:color w:val="425563"/>
          <w:sz w:val="22"/>
          <w:szCs w:val="22"/>
          <w:lang w:val="pl"/>
        </w:rPr>
        <w:t xml:space="preserve"> spółki </w:t>
      </w:r>
      <w:r>
        <w:rPr>
          <w:rFonts w:asciiTheme="minorHAnsi" w:hAnsiTheme="minorHAnsi"/>
          <w:color w:val="425563"/>
          <w:sz w:val="24"/>
          <w:szCs w:val="22"/>
          <w:lang w:val="pl"/>
        </w:rPr>
        <w:t>–</w:t>
      </w:r>
      <w:r>
        <w:rPr>
          <w:rFonts w:asciiTheme="minorHAnsi" w:hAnsiTheme="minorHAnsi"/>
          <w:color w:val="425563"/>
          <w:sz w:val="22"/>
          <w:szCs w:val="22"/>
          <w:lang w:val="pl"/>
        </w:rPr>
        <w:t xml:space="preserve"> stan na luty 2023 r., z wyłączeniem zobowiązań z tytułu leasingu</w:t>
      </w:r>
      <w:r>
        <w:rPr>
          <w:rFonts w:asciiTheme="minorHAnsi" w:hAnsiTheme="minorHAnsi"/>
          <w:color w:val="425563"/>
          <w:sz w:val="24"/>
          <w:szCs w:val="22"/>
          <w:lang w:val="pl"/>
        </w:rPr>
        <w:t xml:space="preserve"> – </w:t>
      </w:r>
      <w:r>
        <w:rPr>
          <w:rFonts w:asciiTheme="minorHAnsi" w:hAnsiTheme="minorHAnsi"/>
          <w:color w:val="425563"/>
          <w:sz w:val="22"/>
          <w:szCs w:val="22"/>
          <w:lang w:val="pl"/>
        </w:rPr>
        <w:t xml:space="preserve">wyniosło </w:t>
      </w:r>
      <w:r>
        <w:rPr>
          <w:rFonts w:asciiTheme="minorHAnsi" w:hAnsiTheme="minorHAnsi"/>
          <w:b/>
          <w:bCs/>
          <w:color w:val="425563"/>
          <w:sz w:val="22"/>
          <w:szCs w:val="22"/>
          <w:lang w:val="pl"/>
        </w:rPr>
        <w:t>16,9 mld EUR</w:t>
      </w:r>
      <w:r>
        <w:rPr>
          <w:rFonts w:asciiTheme="minorHAnsi" w:hAnsiTheme="minorHAnsi"/>
          <w:color w:val="425563"/>
          <w:sz w:val="22"/>
          <w:szCs w:val="22"/>
          <w:lang w:val="pl"/>
        </w:rPr>
        <w:t xml:space="preserve">. </w:t>
      </w:r>
      <w:r>
        <w:rPr>
          <w:rFonts w:asciiTheme="minorHAnsi" w:hAnsiTheme="minorHAnsi"/>
          <w:b/>
          <w:bCs/>
          <w:color w:val="425563"/>
          <w:sz w:val="22"/>
          <w:szCs w:val="22"/>
          <w:lang w:val="pl"/>
        </w:rPr>
        <w:t xml:space="preserve">77% </w:t>
      </w:r>
      <w:r>
        <w:rPr>
          <w:rFonts w:asciiTheme="minorHAnsi" w:hAnsiTheme="minorHAnsi"/>
          <w:color w:val="425563"/>
          <w:sz w:val="22"/>
          <w:szCs w:val="22"/>
          <w:lang w:val="pl"/>
        </w:rPr>
        <w:t xml:space="preserve">zadłużenia ma </w:t>
      </w:r>
      <w:r>
        <w:rPr>
          <w:rFonts w:asciiTheme="minorHAnsi" w:hAnsiTheme="minorHAnsi"/>
          <w:b/>
          <w:bCs/>
          <w:color w:val="425563"/>
          <w:sz w:val="22"/>
          <w:szCs w:val="22"/>
          <w:lang w:val="pl"/>
        </w:rPr>
        <w:t>oprocentowanie stałe.</w:t>
      </w:r>
      <w:r>
        <w:rPr>
          <w:rFonts w:asciiTheme="minorHAnsi" w:hAnsiTheme="minorHAnsi"/>
          <w:color w:val="425563"/>
          <w:sz w:val="22"/>
          <w:szCs w:val="22"/>
          <w:lang w:val="pl"/>
        </w:rPr>
        <w:t xml:space="preserve"> </w:t>
      </w:r>
      <w:bookmarkStart w:id="0" w:name="_Hlk109644852"/>
    </w:p>
    <w:p w14:paraId="571FDDBF" w14:textId="77777777" w:rsidR="00100152" w:rsidRPr="00DE766F" w:rsidRDefault="00100152" w:rsidP="00100152">
      <w:pPr>
        <w:pStyle w:val="Akapitzlist"/>
        <w:suppressAutoHyphens/>
        <w:rPr>
          <w:rFonts w:asciiTheme="minorHAnsi" w:hAnsiTheme="minorHAnsi"/>
          <w:color w:val="425563"/>
          <w:spacing w:val="0"/>
          <w:sz w:val="10"/>
          <w:szCs w:val="10"/>
          <w:lang w:val="pl-PL"/>
        </w:rPr>
      </w:pPr>
    </w:p>
    <w:p w14:paraId="7C8ACCB6" w14:textId="77777777" w:rsidR="00100152" w:rsidRPr="00DE766F" w:rsidRDefault="00100152" w:rsidP="00100152">
      <w:pPr>
        <w:pStyle w:val="Akapitzlist"/>
        <w:numPr>
          <w:ilvl w:val="0"/>
          <w:numId w:val="7"/>
        </w:numPr>
        <w:suppressAutoHyphens/>
        <w:rPr>
          <w:rFonts w:asciiTheme="minorHAnsi" w:hAnsiTheme="minorHAnsi"/>
          <w:color w:val="425563"/>
          <w:spacing w:val="0"/>
          <w:sz w:val="22"/>
          <w:szCs w:val="22"/>
          <w:lang w:val="pl-PL"/>
        </w:rPr>
      </w:pPr>
      <w:r>
        <w:rPr>
          <w:rFonts w:asciiTheme="minorHAnsi" w:hAnsiTheme="minorHAnsi"/>
          <w:color w:val="425563"/>
          <w:sz w:val="22"/>
          <w:szCs w:val="22"/>
          <w:lang w:val="pl"/>
        </w:rPr>
        <w:t xml:space="preserve">Wg stanu na luty 2023 r. spółka Cellnex dysponowała </w:t>
      </w:r>
      <w:r>
        <w:rPr>
          <w:rFonts w:asciiTheme="minorHAnsi" w:hAnsiTheme="minorHAnsi"/>
          <w:b/>
          <w:bCs/>
          <w:color w:val="425563"/>
          <w:sz w:val="22"/>
          <w:szCs w:val="22"/>
          <w:lang w:val="pl"/>
        </w:rPr>
        <w:t xml:space="preserve">płynnością natychmiastową </w:t>
      </w:r>
      <w:r>
        <w:rPr>
          <w:rFonts w:asciiTheme="minorHAnsi" w:hAnsiTheme="minorHAnsi"/>
          <w:color w:val="425563"/>
          <w:sz w:val="22"/>
          <w:szCs w:val="22"/>
          <w:lang w:val="pl"/>
        </w:rPr>
        <w:t xml:space="preserve">(środki pieniężne i niewykorzystane instrumenty kredytowe) w kwocie około </w:t>
      </w:r>
      <w:r>
        <w:rPr>
          <w:rFonts w:asciiTheme="minorHAnsi" w:hAnsiTheme="minorHAnsi"/>
          <w:b/>
          <w:bCs/>
          <w:color w:val="425563"/>
          <w:sz w:val="22"/>
          <w:szCs w:val="22"/>
          <w:lang w:val="pl"/>
        </w:rPr>
        <w:t>4,4 mld EUR</w:t>
      </w:r>
      <w:r>
        <w:rPr>
          <w:rFonts w:asciiTheme="minorHAnsi" w:hAnsiTheme="minorHAnsi"/>
          <w:color w:val="425563"/>
          <w:sz w:val="22"/>
          <w:szCs w:val="22"/>
          <w:lang w:val="pl"/>
        </w:rPr>
        <w:t>.</w:t>
      </w:r>
    </w:p>
    <w:p w14:paraId="73DC6AA2" w14:textId="77777777" w:rsidR="00100152" w:rsidRPr="00DE766F" w:rsidRDefault="00100152" w:rsidP="00100152">
      <w:pPr>
        <w:pStyle w:val="Akapitzlist"/>
        <w:suppressAutoHyphens/>
        <w:rPr>
          <w:rFonts w:asciiTheme="minorHAnsi" w:hAnsiTheme="minorHAnsi"/>
          <w:color w:val="425563"/>
          <w:spacing w:val="0"/>
          <w:sz w:val="10"/>
          <w:szCs w:val="10"/>
          <w:lang w:val="pl-PL"/>
        </w:rPr>
      </w:pPr>
    </w:p>
    <w:p w14:paraId="69F3C741" w14:textId="77777777" w:rsidR="00100152" w:rsidRPr="00DE766F" w:rsidRDefault="00100152" w:rsidP="00100152">
      <w:pPr>
        <w:pStyle w:val="Akapitzlist"/>
        <w:numPr>
          <w:ilvl w:val="0"/>
          <w:numId w:val="7"/>
        </w:numPr>
        <w:suppressAutoHyphens/>
        <w:spacing w:after="80" w:line="240" w:lineRule="auto"/>
        <w:ind w:left="714" w:hanging="357"/>
        <w:rPr>
          <w:bCs/>
          <w:color w:val="425563"/>
          <w:spacing w:val="0"/>
          <w:sz w:val="22"/>
          <w:szCs w:val="22"/>
          <w:lang w:val="pl-PL"/>
        </w:rPr>
      </w:pPr>
      <w:r>
        <w:rPr>
          <w:b/>
          <w:bCs/>
          <w:color w:val="425563"/>
          <w:sz w:val="22"/>
          <w:szCs w:val="22"/>
          <w:lang w:val="pl"/>
        </w:rPr>
        <w:t>Papiery wartościowe wyemitowane przez spółkę Cellnex utrzymują swoją klasę inwestycyjną Fitch (BBB-)</w:t>
      </w:r>
      <w:r>
        <w:rPr>
          <w:color w:val="425563"/>
          <w:sz w:val="22"/>
          <w:szCs w:val="22"/>
          <w:lang w:val="pl"/>
        </w:rPr>
        <w:t xml:space="preserve">, a w styczniu potwierdzono, że dotyczące ich prognozy są stabilne. Z kolei </w:t>
      </w:r>
      <w:r>
        <w:rPr>
          <w:b/>
          <w:bCs/>
          <w:color w:val="425563"/>
          <w:sz w:val="22"/>
          <w:szCs w:val="22"/>
          <w:lang w:val="pl"/>
        </w:rPr>
        <w:t>agencja S&amp;P utrzymuje ocenę BB+ i stabilną prognozę potwierdzoną w listopadzie.</w:t>
      </w:r>
    </w:p>
    <w:p w14:paraId="482FF2F0" w14:textId="77777777" w:rsidR="00100152" w:rsidRPr="00DE766F" w:rsidRDefault="00100152" w:rsidP="00100152">
      <w:pPr>
        <w:pStyle w:val="Akapitzlist"/>
        <w:rPr>
          <w:rFonts w:asciiTheme="minorHAnsi" w:hAnsiTheme="minorHAnsi"/>
          <w:color w:val="425563"/>
          <w:spacing w:val="0"/>
          <w:sz w:val="22"/>
          <w:szCs w:val="22"/>
          <w:lang w:val="pl-PL"/>
        </w:rPr>
      </w:pPr>
    </w:p>
    <w:p w14:paraId="7287B15C" w14:textId="77777777" w:rsidR="00100152" w:rsidRPr="00DE766F" w:rsidRDefault="00100152" w:rsidP="00100152">
      <w:pPr>
        <w:pStyle w:val="Akapitzlist"/>
        <w:numPr>
          <w:ilvl w:val="0"/>
          <w:numId w:val="23"/>
        </w:numPr>
        <w:spacing w:after="80" w:line="240" w:lineRule="auto"/>
        <w:ind w:left="714" w:hanging="357"/>
        <w:rPr>
          <w:rFonts w:asciiTheme="minorHAnsi" w:hAnsiTheme="minorHAnsi"/>
          <w:b/>
          <w:color w:val="425563"/>
          <w:spacing w:val="0"/>
          <w:sz w:val="22"/>
          <w:szCs w:val="22"/>
          <w:lang w:val="pl-PL"/>
        </w:rPr>
      </w:pPr>
      <w:r>
        <w:rPr>
          <w:rFonts w:asciiTheme="minorHAnsi" w:hAnsiTheme="minorHAnsi"/>
          <w:b/>
          <w:bCs/>
          <w:color w:val="425563"/>
          <w:sz w:val="22"/>
          <w:szCs w:val="22"/>
          <w:lang w:val="pl"/>
        </w:rPr>
        <w:t>Całkowita</w:t>
      </w:r>
      <w:r>
        <w:rPr>
          <w:rFonts w:asciiTheme="minorHAnsi" w:hAnsiTheme="minorHAnsi"/>
          <w:color w:val="425563"/>
          <w:sz w:val="22"/>
          <w:szCs w:val="22"/>
          <w:lang w:val="pl"/>
        </w:rPr>
        <w:t xml:space="preserve"> </w:t>
      </w:r>
      <w:r>
        <w:rPr>
          <w:rFonts w:asciiTheme="minorHAnsi" w:hAnsiTheme="minorHAnsi"/>
          <w:b/>
          <w:bCs/>
          <w:color w:val="425563"/>
          <w:sz w:val="22"/>
          <w:szCs w:val="22"/>
          <w:lang w:val="pl"/>
        </w:rPr>
        <w:t xml:space="preserve">wysokość opodatkowania </w:t>
      </w:r>
      <w:r>
        <w:rPr>
          <w:rFonts w:asciiTheme="minorHAnsi" w:hAnsiTheme="minorHAnsi"/>
          <w:color w:val="425563"/>
          <w:sz w:val="22"/>
          <w:szCs w:val="22"/>
          <w:lang w:val="pl"/>
        </w:rPr>
        <w:t xml:space="preserve">spółki Cellnex (podatki własne, podatki podmiotów zewnętrznych) w roku obrotowym 2022 </w:t>
      </w:r>
      <w:r>
        <w:rPr>
          <w:rFonts w:asciiTheme="minorHAnsi" w:hAnsiTheme="minorHAnsi"/>
          <w:color w:val="425563"/>
          <w:sz w:val="24"/>
          <w:szCs w:val="22"/>
          <w:lang w:val="pl"/>
        </w:rPr>
        <w:t>–</w:t>
      </w:r>
      <w:r>
        <w:rPr>
          <w:rFonts w:asciiTheme="minorHAnsi" w:hAnsiTheme="minorHAnsi"/>
          <w:color w:val="425563"/>
          <w:sz w:val="22"/>
          <w:szCs w:val="22"/>
          <w:lang w:val="pl"/>
        </w:rPr>
        <w:t xml:space="preserve"> stosując kryterium gotówkowe wg metodologii OECD</w:t>
      </w:r>
      <w:r>
        <w:rPr>
          <w:rFonts w:asciiTheme="minorHAnsi" w:hAnsiTheme="minorHAnsi"/>
          <w:color w:val="425563"/>
          <w:sz w:val="24"/>
          <w:szCs w:val="22"/>
          <w:lang w:val="pl"/>
        </w:rPr>
        <w:t>–</w:t>
      </w:r>
      <w:r>
        <w:rPr>
          <w:rFonts w:asciiTheme="minorHAnsi" w:hAnsiTheme="minorHAnsi"/>
          <w:color w:val="425563"/>
          <w:sz w:val="22"/>
          <w:szCs w:val="22"/>
          <w:lang w:val="pl"/>
        </w:rPr>
        <w:t xml:space="preserve"> wynosiła </w:t>
      </w:r>
      <w:r>
        <w:rPr>
          <w:rFonts w:asciiTheme="minorHAnsi" w:hAnsiTheme="minorHAnsi"/>
          <w:b/>
          <w:bCs/>
          <w:color w:val="425563"/>
          <w:sz w:val="22"/>
          <w:szCs w:val="22"/>
          <w:lang w:val="pl"/>
        </w:rPr>
        <w:t>513 mln EUR</w:t>
      </w:r>
      <w:r>
        <w:rPr>
          <w:rFonts w:asciiTheme="minorHAnsi" w:hAnsiTheme="minorHAnsi"/>
          <w:color w:val="425563"/>
          <w:sz w:val="22"/>
          <w:szCs w:val="22"/>
          <w:lang w:val="pl"/>
        </w:rPr>
        <w:t xml:space="preserve">. Z tej kwoty 191 mln odpowiada podatkom własnym i obejmuje zasadniczo podatki od zysku, podatki lokalne, opłaty i składki na ubezpieczenie społeczne. Od 2020 r. spółka </w:t>
      </w:r>
      <w:r>
        <w:rPr>
          <w:rFonts w:asciiTheme="minorHAnsi" w:hAnsiTheme="minorHAnsi"/>
          <w:b/>
          <w:bCs/>
          <w:color w:val="425563"/>
          <w:sz w:val="22"/>
          <w:szCs w:val="22"/>
          <w:lang w:val="pl"/>
        </w:rPr>
        <w:t>postępuje zgodnie z Kodeksem dobrych praktyk podatkowych i prezentuje Roczny raport przejrzystości podatkowej.</w:t>
      </w:r>
    </w:p>
    <w:p w14:paraId="5AABFDE6" w14:textId="77777777" w:rsidR="00100152" w:rsidRPr="00DE766F" w:rsidRDefault="00100152" w:rsidP="00100152">
      <w:pPr>
        <w:pStyle w:val="Akapitzlist"/>
        <w:rPr>
          <w:rFonts w:asciiTheme="minorHAnsi" w:hAnsiTheme="minorHAnsi"/>
          <w:color w:val="425563"/>
          <w:spacing w:val="0"/>
          <w:sz w:val="22"/>
          <w:szCs w:val="22"/>
          <w:lang w:val="pl-PL"/>
        </w:rPr>
      </w:pPr>
    </w:p>
    <w:p w14:paraId="1338348D" w14:textId="77777777" w:rsidR="00100152" w:rsidRPr="00DE766F" w:rsidRDefault="00100152" w:rsidP="00100152">
      <w:pPr>
        <w:pStyle w:val="Akapitzlist"/>
        <w:numPr>
          <w:ilvl w:val="0"/>
          <w:numId w:val="7"/>
        </w:numPr>
        <w:suppressAutoHyphens/>
        <w:spacing w:after="80" w:line="240" w:lineRule="auto"/>
        <w:rPr>
          <w:rFonts w:asciiTheme="minorHAnsi" w:hAnsiTheme="minorHAnsi"/>
          <w:color w:val="425563"/>
          <w:spacing w:val="0"/>
          <w:sz w:val="22"/>
          <w:szCs w:val="22"/>
          <w:lang w:val="pl-PL"/>
        </w:rPr>
      </w:pPr>
      <w:r>
        <w:rPr>
          <w:rFonts w:asciiTheme="minorHAnsi" w:hAnsiTheme="minorHAnsi"/>
          <w:color w:val="425563"/>
          <w:sz w:val="22"/>
          <w:szCs w:val="22"/>
          <w:lang w:val="pl"/>
        </w:rPr>
        <w:t>Spółka Cellnex nie wyklucza otwarcia kapitału określonych jednostek zależnych w celu krystalizacji wartości i przyspieszenia procesu osiągania klasy inwestycyjnej.</w:t>
      </w:r>
    </w:p>
    <w:bookmarkEnd w:id="0"/>
    <w:p w14:paraId="6E44D073" w14:textId="77777777" w:rsidR="00100152" w:rsidRPr="00DE766F" w:rsidRDefault="00100152" w:rsidP="00100152">
      <w:pPr>
        <w:suppressAutoHyphens/>
        <w:spacing w:after="0" w:line="240" w:lineRule="auto"/>
        <w:rPr>
          <w:rFonts w:asciiTheme="minorHAnsi" w:hAnsiTheme="minorHAnsi"/>
          <w:color w:val="425563"/>
          <w:spacing w:val="0"/>
          <w:sz w:val="12"/>
          <w:szCs w:val="12"/>
          <w:lang w:val="pl-PL"/>
        </w:rPr>
      </w:pPr>
    </w:p>
    <w:p w14:paraId="60FDB3B4" w14:textId="77777777" w:rsidR="00100152" w:rsidRPr="00DE766F" w:rsidRDefault="00100152" w:rsidP="00100152">
      <w:pPr>
        <w:suppressAutoHyphens/>
        <w:spacing w:after="0" w:line="240" w:lineRule="auto"/>
        <w:rPr>
          <w:rFonts w:asciiTheme="minorHAnsi" w:hAnsiTheme="minorHAnsi"/>
          <w:color w:val="425563"/>
          <w:spacing w:val="0"/>
          <w:sz w:val="12"/>
          <w:szCs w:val="12"/>
          <w:lang w:val="pl-PL"/>
        </w:rPr>
      </w:pPr>
    </w:p>
    <w:p w14:paraId="7FE3D7D4" w14:textId="77777777" w:rsidR="00100152" w:rsidRPr="00DE766F" w:rsidRDefault="00100152" w:rsidP="00100152">
      <w:pPr>
        <w:suppressAutoHyphens/>
        <w:spacing w:line="240" w:lineRule="auto"/>
        <w:rPr>
          <w:b/>
          <w:bCs/>
          <w:color w:val="70AD47" w:themeColor="accent6"/>
          <w:spacing w:val="0"/>
          <w:sz w:val="24"/>
          <w:szCs w:val="24"/>
          <w:lang w:val="pl-PL"/>
        </w:rPr>
      </w:pPr>
      <w:r>
        <w:rPr>
          <w:b/>
          <w:bCs/>
          <w:color w:val="70AD47" w:themeColor="accent6"/>
          <w:sz w:val="24"/>
          <w:szCs w:val="24"/>
          <w:lang w:val="pl"/>
        </w:rPr>
        <w:t>Kluczowe etapy w 2022 r.: zawarcie umowy z Hutchison w Wielkiej Brytanii i skupienie na wzroście organicznym dzięki umowom branżowym na głównych rynkach Cellnex</w:t>
      </w:r>
    </w:p>
    <w:p w14:paraId="62DBDF3E" w14:textId="77777777" w:rsidR="00100152" w:rsidRPr="00DE766F" w:rsidRDefault="00100152" w:rsidP="00100152">
      <w:pPr>
        <w:pStyle w:val="Cuadrculamedia1-nfasis21"/>
        <w:numPr>
          <w:ilvl w:val="0"/>
          <w:numId w:val="0"/>
        </w:numPr>
        <w:suppressAutoHyphens/>
        <w:spacing w:before="120" w:after="120"/>
        <w:rPr>
          <w:rFonts w:asciiTheme="minorHAnsi" w:hAnsiTheme="minorHAnsi"/>
          <w:color w:val="51626F"/>
          <w:spacing w:val="0"/>
          <w:sz w:val="22"/>
          <w:szCs w:val="22"/>
          <w:lang w:val="pl-PL"/>
        </w:rPr>
      </w:pPr>
      <w:r>
        <w:rPr>
          <w:rFonts w:asciiTheme="minorHAnsi" w:hAnsiTheme="minorHAnsi"/>
          <w:color w:val="425563"/>
          <w:sz w:val="22"/>
          <w:szCs w:val="22"/>
          <w:lang w:val="pl"/>
        </w:rPr>
        <w:t xml:space="preserve">W listopadzie spółka Cellnex </w:t>
      </w:r>
      <w:r>
        <w:rPr>
          <w:rFonts w:asciiTheme="minorHAnsi" w:hAnsiTheme="minorHAnsi"/>
          <w:color w:val="51626F"/>
          <w:sz w:val="22"/>
          <w:szCs w:val="22"/>
          <w:lang w:val="pl"/>
        </w:rPr>
        <w:t xml:space="preserve">zawarła </w:t>
      </w:r>
      <w:r>
        <w:rPr>
          <w:rFonts w:asciiTheme="minorHAnsi" w:hAnsiTheme="minorHAnsi"/>
          <w:b/>
          <w:bCs/>
          <w:color w:val="51626F"/>
          <w:sz w:val="22"/>
          <w:szCs w:val="22"/>
          <w:lang w:val="pl"/>
        </w:rPr>
        <w:t>umowę z CK Hutchison w Wielkiej Brytanii</w:t>
      </w:r>
      <w:r>
        <w:rPr>
          <w:rFonts w:asciiTheme="minorHAnsi" w:hAnsiTheme="minorHAnsi"/>
          <w:color w:val="51626F"/>
          <w:sz w:val="22"/>
          <w:szCs w:val="22"/>
          <w:lang w:val="pl"/>
        </w:rPr>
        <w:t xml:space="preserve"> (co obejmuje udziały oraz przychody uzyskiwane z maksymalnie 6600 stacji bazowych po zakończeniu programów budowy na zamówienie [build to suit, BTS]) po tym jak brytyjski Urząd ds. Konkurencji i Rynków (Competition and Markets Authority, CMA) zaakceptował Ostateczne zobowiązania zaproponowane przez Cellnex i CK Hutchison w maju oraz umowę o przekazanie około 1100 stacji bazowych brytyjskiemu operatorowi infrastruktury telekomunikacyjnej – Wireless </w:t>
      </w:r>
      <w:proofErr w:type="spellStart"/>
      <w:r>
        <w:rPr>
          <w:rFonts w:asciiTheme="minorHAnsi" w:hAnsiTheme="minorHAnsi"/>
          <w:color w:val="51626F"/>
          <w:sz w:val="22"/>
          <w:szCs w:val="22"/>
          <w:lang w:val="pl"/>
        </w:rPr>
        <w:t>Infrastructure</w:t>
      </w:r>
      <w:proofErr w:type="spellEnd"/>
      <w:r>
        <w:rPr>
          <w:rFonts w:asciiTheme="minorHAnsi" w:hAnsiTheme="minorHAnsi"/>
          <w:color w:val="51626F"/>
          <w:sz w:val="22"/>
          <w:szCs w:val="22"/>
          <w:lang w:val="pl"/>
        </w:rPr>
        <w:t xml:space="preserve"> </w:t>
      </w:r>
      <w:proofErr w:type="spellStart"/>
      <w:r>
        <w:rPr>
          <w:rFonts w:asciiTheme="minorHAnsi" w:hAnsiTheme="minorHAnsi"/>
          <w:color w:val="51626F"/>
          <w:sz w:val="22"/>
          <w:szCs w:val="22"/>
          <w:lang w:val="pl"/>
        </w:rPr>
        <w:t>Group</w:t>
      </w:r>
      <w:proofErr w:type="spellEnd"/>
      <w:r>
        <w:rPr>
          <w:rFonts w:asciiTheme="minorHAnsi" w:hAnsiTheme="minorHAnsi"/>
          <w:color w:val="51626F"/>
          <w:sz w:val="22"/>
          <w:szCs w:val="22"/>
          <w:lang w:val="pl"/>
        </w:rPr>
        <w:t xml:space="preserve"> (WIG).</w:t>
      </w:r>
    </w:p>
    <w:p w14:paraId="281037D9" w14:textId="77777777" w:rsidR="00100152" w:rsidRPr="00DE766F" w:rsidRDefault="00100152" w:rsidP="00100152">
      <w:pPr>
        <w:pStyle w:val="Cuadrculamedia1-nfasis21"/>
        <w:numPr>
          <w:ilvl w:val="0"/>
          <w:numId w:val="0"/>
        </w:numPr>
        <w:suppressAutoHyphens/>
        <w:spacing w:before="120" w:after="120"/>
        <w:rPr>
          <w:rFonts w:asciiTheme="minorHAnsi" w:hAnsiTheme="minorHAnsi" w:cstheme="minorHAnsi"/>
          <w:color w:val="51626F"/>
          <w:spacing w:val="0"/>
          <w:sz w:val="22"/>
          <w:szCs w:val="22"/>
          <w:lang w:val="pl-PL"/>
        </w:rPr>
      </w:pPr>
      <w:r>
        <w:rPr>
          <w:rFonts w:asciiTheme="minorHAnsi" w:hAnsiTheme="minorHAnsi" w:cstheme="minorHAnsi"/>
          <w:color w:val="51626F"/>
          <w:sz w:val="22"/>
          <w:szCs w:val="22"/>
          <w:lang w:val="pl"/>
        </w:rPr>
        <w:t>Było to ostatnie z serii przejęć ogłoszonych w listopadzie 2020 r. i zawartych pomiędzy Cellnex a CK Hutchison w Austrii, Danii, Irlandii, Włoszech, Szwecji i Wielkiej Brytanii, przy ogólnym nakładzie inwestycyjnym na poziomie około 10 mld EUR.</w:t>
      </w:r>
    </w:p>
    <w:p w14:paraId="113B5002" w14:textId="77777777" w:rsidR="00100152" w:rsidRPr="00DE766F" w:rsidRDefault="00100152" w:rsidP="00100152">
      <w:pPr>
        <w:suppressAutoHyphens/>
        <w:spacing w:line="240" w:lineRule="auto"/>
        <w:rPr>
          <w:rFonts w:asciiTheme="minorHAnsi" w:hAnsiTheme="minorHAnsi"/>
          <w:color w:val="425563"/>
          <w:spacing w:val="0"/>
          <w:sz w:val="22"/>
          <w:szCs w:val="22"/>
          <w:lang w:val="pl-PL"/>
        </w:rPr>
      </w:pPr>
      <w:bookmarkStart w:id="1" w:name="_Hlk127533898"/>
      <w:r>
        <w:rPr>
          <w:rFonts w:asciiTheme="minorHAnsi" w:hAnsiTheme="minorHAnsi"/>
          <w:color w:val="425563"/>
          <w:sz w:val="22"/>
          <w:szCs w:val="22"/>
          <w:lang w:val="pl"/>
        </w:rPr>
        <w:t>Jednocześnie Spółka rozszerzyła współpracę z </w:t>
      </w:r>
      <w:r>
        <w:rPr>
          <w:rFonts w:asciiTheme="minorHAnsi" w:hAnsiTheme="minorHAnsi"/>
          <w:b/>
          <w:bCs/>
          <w:color w:val="425563"/>
          <w:sz w:val="22"/>
          <w:szCs w:val="22"/>
          <w:lang w:val="pl"/>
        </w:rPr>
        <w:t xml:space="preserve">Telefónica w Hiszpanii </w:t>
      </w:r>
      <w:r>
        <w:rPr>
          <w:rFonts w:asciiTheme="minorHAnsi" w:hAnsiTheme="minorHAnsi"/>
          <w:color w:val="425563"/>
          <w:sz w:val="22"/>
          <w:szCs w:val="22"/>
          <w:lang w:val="pl"/>
        </w:rPr>
        <w:t xml:space="preserve">poprzez umowę branżową, która obejmuje odnowienie kontraktów na usługi dla 4500 stacji bazowych na okres 30 lat. Również w Hiszpanii w sektorze infrastruktury nadawczej </w:t>
      </w:r>
      <w:r>
        <w:rPr>
          <w:rFonts w:asciiTheme="minorHAnsi" w:hAnsiTheme="minorHAnsi"/>
          <w:b/>
          <w:bCs/>
          <w:color w:val="425563"/>
          <w:sz w:val="22"/>
          <w:szCs w:val="22"/>
          <w:lang w:val="pl"/>
        </w:rPr>
        <w:t>RTVE</w:t>
      </w:r>
      <w:r>
        <w:rPr>
          <w:rFonts w:asciiTheme="minorHAnsi" w:hAnsiTheme="minorHAnsi"/>
          <w:color w:val="425563"/>
          <w:sz w:val="22"/>
          <w:szCs w:val="22"/>
          <w:lang w:val="pl"/>
        </w:rPr>
        <w:t xml:space="preserve"> przyznało spółce Cellnex prawa nadawcze dla sygnałów radiowych i telewizyjnych na pięć kolejnych lat.</w:t>
      </w:r>
    </w:p>
    <w:p w14:paraId="2B791DD7" w14:textId="77777777" w:rsidR="00100152" w:rsidRPr="00DE766F" w:rsidRDefault="00100152" w:rsidP="00100152">
      <w:pPr>
        <w:suppressAutoHyphens/>
        <w:spacing w:line="240" w:lineRule="auto"/>
        <w:rPr>
          <w:rFonts w:asciiTheme="minorHAnsi" w:hAnsiTheme="minorHAnsi"/>
          <w:color w:val="425563"/>
          <w:spacing w:val="0"/>
          <w:sz w:val="22"/>
          <w:szCs w:val="22"/>
          <w:lang w:val="pl-PL"/>
        </w:rPr>
      </w:pPr>
      <w:r>
        <w:rPr>
          <w:rFonts w:asciiTheme="minorHAnsi" w:hAnsiTheme="minorHAnsi"/>
          <w:color w:val="425563"/>
          <w:sz w:val="22"/>
          <w:szCs w:val="22"/>
          <w:lang w:val="pl"/>
        </w:rPr>
        <w:t>W </w:t>
      </w:r>
      <w:r>
        <w:rPr>
          <w:rFonts w:asciiTheme="minorHAnsi" w:hAnsiTheme="minorHAnsi"/>
          <w:b/>
          <w:bCs/>
          <w:color w:val="425563"/>
          <w:sz w:val="22"/>
          <w:szCs w:val="22"/>
          <w:lang w:val="pl"/>
        </w:rPr>
        <w:t>Portugalii</w:t>
      </w:r>
      <w:r>
        <w:rPr>
          <w:rFonts w:asciiTheme="minorHAnsi" w:hAnsiTheme="minorHAnsi"/>
          <w:color w:val="425563"/>
          <w:sz w:val="22"/>
          <w:szCs w:val="22"/>
          <w:lang w:val="pl"/>
        </w:rPr>
        <w:t xml:space="preserve"> spółka rozszerzyła współpracę z </w:t>
      </w:r>
      <w:r>
        <w:rPr>
          <w:rFonts w:asciiTheme="minorHAnsi" w:hAnsiTheme="minorHAnsi"/>
          <w:b/>
          <w:bCs/>
          <w:color w:val="425563"/>
          <w:sz w:val="22"/>
          <w:szCs w:val="22"/>
          <w:lang w:val="pl"/>
        </w:rPr>
        <w:t>NOS</w:t>
      </w:r>
      <w:r>
        <w:rPr>
          <w:rFonts w:asciiTheme="minorHAnsi" w:hAnsiTheme="minorHAnsi"/>
          <w:color w:val="425563"/>
          <w:sz w:val="22"/>
          <w:szCs w:val="22"/>
          <w:lang w:val="pl"/>
        </w:rPr>
        <w:t xml:space="preserve"> zgodnie z umowami podpisanymi w 2020 r., gdy przejęła portfolio infrastruktury od portugalskiego operatora i zawarła umowę z </w:t>
      </w:r>
      <w:r>
        <w:rPr>
          <w:rFonts w:asciiTheme="minorHAnsi" w:hAnsiTheme="minorHAnsi"/>
          <w:b/>
          <w:bCs/>
          <w:color w:val="425563"/>
          <w:sz w:val="22"/>
          <w:szCs w:val="22"/>
          <w:lang w:val="pl"/>
        </w:rPr>
        <w:t>Digi</w:t>
      </w:r>
      <w:r>
        <w:rPr>
          <w:rFonts w:asciiTheme="minorHAnsi" w:hAnsiTheme="minorHAnsi"/>
          <w:color w:val="425563"/>
          <w:sz w:val="22"/>
          <w:szCs w:val="22"/>
          <w:lang w:val="pl"/>
        </w:rPr>
        <w:t>, na podstawie której operator sieci komórkowych otworzy 2000 punktów obecności (Points of Presence, PoP) w stacjach bazowych Cellnex w Portugalii.</w:t>
      </w:r>
    </w:p>
    <w:p w14:paraId="607A9506" w14:textId="77777777" w:rsidR="00100152" w:rsidRPr="00DE766F" w:rsidRDefault="00100152" w:rsidP="00100152">
      <w:pPr>
        <w:suppressAutoHyphens/>
        <w:spacing w:after="0" w:line="240" w:lineRule="auto"/>
        <w:rPr>
          <w:rFonts w:asciiTheme="minorHAnsi" w:hAnsiTheme="minorHAnsi"/>
          <w:b/>
          <w:color w:val="425563"/>
          <w:spacing w:val="0"/>
          <w:sz w:val="22"/>
          <w:szCs w:val="22"/>
          <w:lang w:val="pl-PL"/>
        </w:rPr>
      </w:pPr>
      <w:r>
        <w:rPr>
          <w:rFonts w:asciiTheme="minorHAnsi" w:hAnsiTheme="minorHAnsi"/>
          <w:color w:val="425563"/>
          <w:sz w:val="22"/>
          <w:szCs w:val="22"/>
          <w:lang w:val="pl"/>
        </w:rPr>
        <w:t>W </w:t>
      </w:r>
      <w:r>
        <w:rPr>
          <w:rFonts w:asciiTheme="minorHAnsi" w:hAnsiTheme="minorHAnsi"/>
          <w:b/>
          <w:bCs/>
          <w:color w:val="425563"/>
          <w:sz w:val="22"/>
          <w:szCs w:val="22"/>
          <w:lang w:val="pl"/>
        </w:rPr>
        <w:t>Wielkiej Brytanii</w:t>
      </w:r>
      <w:r>
        <w:rPr>
          <w:rFonts w:asciiTheme="minorHAnsi" w:hAnsiTheme="minorHAnsi"/>
          <w:color w:val="425563"/>
          <w:sz w:val="22"/>
          <w:szCs w:val="22"/>
          <w:lang w:val="pl"/>
        </w:rPr>
        <w:t xml:space="preserve"> spółka Cellnex przedłużyła aktualną umowę ramową na świadczenie usług dla </w:t>
      </w:r>
      <w:r>
        <w:rPr>
          <w:rFonts w:asciiTheme="minorHAnsi" w:hAnsiTheme="minorHAnsi"/>
          <w:b/>
          <w:bCs/>
          <w:color w:val="425563"/>
          <w:sz w:val="22"/>
          <w:szCs w:val="22"/>
          <w:lang w:val="pl"/>
        </w:rPr>
        <w:t>BT</w:t>
      </w:r>
      <w:r>
        <w:rPr>
          <w:rFonts w:asciiTheme="minorHAnsi" w:hAnsiTheme="minorHAnsi"/>
          <w:color w:val="425563"/>
          <w:sz w:val="22"/>
          <w:szCs w:val="22"/>
          <w:lang w:val="pl"/>
        </w:rPr>
        <w:t xml:space="preserve"> za pomocą umowy „na wiele dziesięcioleci”. </w:t>
      </w:r>
      <w:bookmarkEnd w:id="1"/>
    </w:p>
    <w:p w14:paraId="59B3F1CD" w14:textId="77777777" w:rsidR="00100152" w:rsidRPr="00DE766F" w:rsidRDefault="00100152" w:rsidP="00100152">
      <w:pPr>
        <w:suppressAutoHyphens/>
        <w:spacing w:line="240" w:lineRule="auto"/>
        <w:rPr>
          <w:rFonts w:asciiTheme="minorHAnsi" w:hAnsiTheme="minorHAnsi"/>
          <w:b/>
          <w:color w:val="70AD47" w:themeColor="accent6"/>
          <w:spacing w:val="0"/>
          <w:sz w:val="24"/>
          <w:szCs w:val="24"/>
          <w:lang w:val="pl-PL"/>
        </w:rPr>
      </w:pPr>
    </w:p>
    <w:p w14:paraId="67503184" w14:textId="77777777" w:rsidR="00100152" w:rsidRPr="00DE766F" w:rsidRDefault="00100152" w:rsidP="00100152">
      <w:pPr>
        <w:suppressAutoHyphens/>
        <w:spacing w:line="240" w:lineRule="auto"/>
        <w:rPr>
          <w:b/>
          <w:bCs/>
          <w:color w:val="70AD47" w:themeColor="accent6"/>
          <w:spacing w:val="0"/>
          <w:sz w:val="24"/>
          <w:szCs w:val="24"/>
          <w:lang w:val="pl-PL"/>
        </w:rPr>
      </w:pPr>
      <w:bookmarkStart w:id="2" w:name="_Hlk127964884"/>
      <w:r>
        <w:rPr>
          <w:b/>
          <w:bCs/>
          <w:color w:val="70AD47" w:themeColor="accent6"/>
          <w:sz w:val="24"/>
          <w:szCs w:val="24"/>
          <w:lang w:val="pl"/>
        </w:rPr>
        <w:t>Perspektywa na rok 2023</w:t>
      </w:r>
    </w:p>
    <w:p w14:paraId="0A889250" w14:textId="77777777" w:rsidR="00100152" w:rsidRPr="00DE766F" w:rsidRDefault="00100152" w:rsidP="00100152">
      <w:pPr>
        <w:spacing w:after="0" w:line="240" w:lineRule="auto"/>
        <w:rPr>
          <w:rFonts w:asciiTheme="minorHAnsi" w:hAnsiTheme="minorHAnsi" w:cs="Calibri"/>
          <w:color w:val="425563"/>
          <w:spacing w:val="0"/>
          <w:sz w:val="22"/>
          <w:szCs w:val="22"/>
          <w:lang w:val="pl-PL"/>
        </w:rPr>
      </w:pPr>
      <w:r>
        <w:rPr>
          <w:rFonts w:asciiTheme="minorHAnsi" w:hAnsiTheme="minorHAnsi" w:cs="Calibri"/>
          <w:color w:val="425563"/>
          <w:sz w:val="22"/>
          <w:szCs w:val="22"/>
          <w:lang w:val="pl"/>
        </w:rPr>
        <w:t>Spółka Cellnex potwierdza swoje wytyczne dotyczące różnych kluczowych wskaźników (przychody, wskaźnik EBITDA oraz wolne i cykliczne przepływy pieniężne) na rok obrotowy 2023:</w:t>
      </w:r>
    </w:p>
    <w:p w14:paraId="3461B61E" w14:textId="77777777" w:rsidR="00100152" w:rsidRPr="00DE766F" w:rsidRDefault="00100152" w:rsidP="00100152">
      <w:pPr>
        <w:spacing w:after="0" w:line="240" w:lineRule="auto"/>
        <w:rPr>
          <w:rFonts w:asciiTheme="minorHAnsi" w:hAnsiTheme="minorHAnsi" w:cs="Calibri"/>
          <w:color w:val="425563"/>
          <w:spacing w:val="0"/>
          <w:sz w:val="22"/>
          <w:szCs w:val="22"/>
          <w:lang w:val="pl-PL"/>
        </w:rPr>
      </w:pPr>
    </w:p>
    <w:p w14:paraId="23947970" w14:textId="77777777" w:rsidR="00100152" w:rsidRPr="00100152" w:rsidRDefault="00100152" w:rsidP="00100152">
      <w:pPr>
        <w:numPr>
          <w:ilvl w:val="0"/>
          <w:numId w:val="3"/>
        </w:numPr>
        <w:spacing w:after="0" w:line="240" w:lineRule="auto"/>
        <w:contextualSpacing/>
        <w:rPr>
          <w:rFonts w:cs="Calibri"/>
          <w:bCs/>
          <w:color w:val="425563"/>
          <w:spacing w:val="0"/>
          <w:sz w:val="22"/>
          <w:szCs w:val="22"/>
        </w:rPr>
      </w:pPr>
      <w:r>
        <w:rPr>
          <w:rFonts w:cs="Calibri"/>
          <w:b/>
          <w:bCs/>
          <w:color w:val="425563"/>
          <w:sz w:val="22"/>
          <w:szCs w:val="22"/>
          <w:lang w:val="pl"/>
        </w:rPr>
        <w:t>Przychody</w:t>
      </w:r>
      <w:r>
        <w:rPr>
          <w:rFonts w:cs="Calibri"/>
          <w:color w:val="425563"/>
          <w:sz w:val="22"/>
          <w:szCs w:val="22"/>
          <w:lang w:val="pl"/>
        </w:rPr>
        <w:t xml:space="preserve">: między </w:t>
      </w:r>
      <w:r>
        <w:rPr>
          <w:rFonts w:cs="Calibri"/>
          <w:b/>
          <w:bCs/>
          <w:color w:val="425563"/>
          <w:sz w:val="22"/>
          <w:szCs w:val="22"/>
          <w:lang w:val="pl"/>
        </w:rPr>
        <w:t xml:space="preserve">4,1 a 4,3 mld EUR </w:t>
      </w:r>
    </w:p>
    <w:p w14:paraId="12037DAE" w14:textId="77777777" w:rsidR="00100152" w:rsidRPr="00100152" w:rsidRDefault="00100152" w:rsidP="00100152">
      <w:pPr>
        <w:numPr>
          <w:ilvl w:val="0"/>
          <w:numId w:val="3"/>
        </w:numPr>
        <w:spacing w:after="0" w:line="240" w:lineRule="auto"/>
        <w:contextualSpacing/>
        <w:rPr>
          <w:rFonts w:cs="Calibri"/>
          <w:b/>
          <w:bCs/>
          <w:color w:val="425563"/>
          <w:spacing w:val="0"/>
          <w:sz w:val="22"/>
          <w:szCs w:val="22"/>
        </w:rPr>
      </w:pPr>
      <w:r>
        <w:rPr>
          <w:rFonts w:cs="Calibri"/>
          <w:b/>
          <w:bCs/>
          <w:color w:val="425563"/>
          <w:sz w:val="22"/>
          <w:szCs w:val="22"/>
          <w:lang w:val="pl"/>
        </w:rPr>
        <w:t>EBITDA</w:t>
      </w:r>
      <w:r>
        <w:rPr>
          <w:rFonts w:cs="Calibri"/>
          <w:color w:val="425563"/>
          <w:sz w:val="22"/>
          <w:szCs w:val="22"/>
          <w:lang w:val="pl"/>
        </w:rPr>
        <w:t xml:space="preserve">: między </w:t>
      </w:r>
      <w:r>
        <w:rPr>
          <w:rFonts w:cs="Calibri"/>
          <w:b/>
          <w:bCs/>
          <w:color w:val="425563"/>
          <w:sz w:val="22"/>
          <w:szCs w:val="22"/>
          <w:lang w:val="pl"/>
        </w:rPr>
        <w:t xml:space="preserve">2,95 a 3,05 mld EUR </w:t>
      </w:r>
    </w:p>
    <w:p w14:paraId="2AF93455" w14:textId="77777777" w:rsidR="00100152" w:rsidRPr="00DE766F" w:rsidRDefault="00100152" w:rsidP="00100152">
      <w:pPr>
        <w:numPr>
          <w:ilvl w:val="0"/>
          <w:numId w:val="3"/>
        </w:numPr>
        <w:spacing w:after="0" w:line="240" w:lineRule="auto"/>
        <w:contextualSpacing/>
        <w:rPr>
          <w:rFonts w:cs="Calibri"/>
          <w:bCs/>
          <w:color w:val="425563"/>
          <w:spacing w:val="0"/>
          <w:sz w:val="22"/>
          <w:szCs w:val="22"/>
          <w:lang w:val="pl-PL"/>
        </w:rPr>
      </w:pPr>
      <w:r>
        <w:rPr>
          <w:rFonts w:cs="Calibri"/>
          <w:b/>
          <w:bCs/>
          <w:color w:val="425563"/>
          <w:sz w:val="22"/>
          <w:szCs w:val="22"/>
          <w:lang w:val="pl"/>
        </w:rPr>
        <w:t>Cykliczne lewarowane wolne przepływy pieniężne (RLFCF)</w:t>
      </w:r>
      <w:r>
        <w:rPr>
          <w:rFonts w:cs="Calibri"/>
          <w:color w:val="425563"/>
          <w:sz w:val="22"/>
          <w:szCs w:val="22"/>
          <w:lang w:val="pl"/>
        </w:rPr>
        <w:t>: między</w:t>
      </w:r>
      <w:r>
        <w:rPr>
          <w:rFonts w:cs="Calibri"/>
          <w:b/>
          <w:bCs/>
          <w:color w:val="425563"/>
          <w:sz w:val="22"/>
          <w:szCs w:val="22"/>
          <w:lang w:val="pl"/>
        </w:rPr>
        <w:t xml:space="preserve"> 1,525 a 1,625 mld EUR </w:t>
      </w:r>
    </w:p>
    <w:p w14:paraId="35597C98" w14:textId="77777777" w:rsidR="00100152" w:rsidRPr="00DE766F" w:rsidRDefault="00100152" w:rsidP="00100152">
      <w:pPr>
        <w:suppressAutoHyphens/>
        <w:spacing w:line="240" w:lineRule="auto"/>
        <w:rPr>
          <w:rFonts w:asciiTheme="minorHAnsi" w:hAnsiTheme="minorHAnsi" w:cs="Calibri"/>
          <w:color w:val="425563"/>
          <w:spacing w:val="0"/>
          <w:sz w:val="10"/>
          <w:szCs w:val="10"/>
          <w:lang w:val="pl-PL"/>
        </w:rPr>
      </w:pPr>
    </w:p>
    <w:p w14:paraId="450D9348" w14:textId="77777777" w:rsidR="00100152" w:rsidRPr="00DE766F" w:rsidRDefault="00100152" w:rsidP="00100152">
      <w:pPr>
        <w:suppressAutoHyphens/>
        <w:spacing w:line="240" w:lineRule="auto"/>
        <w:rPr>
          <w:rFonts w:asciiTheme="minorHAnsi" w:hAnsiTheme="minorHAnsi" w:cs="Calibri"/>
          <w:color w:val="425563"/>
          <w:spacing w:val="0"/>
          <w:sz w:val="22"/>
          <w:szCs w:val="22"/>
          <w:lang w:val="pl-PL"/>
        </w:rPr>
      </w:pPr>
      <w:r>
        <w:rPr>
          <w:rFonts w:asciiTheme="minorHAnsi" w:hAnsiTheme="minorHAnsi" w:cs="Calibri"/>
          <w:color w:val="425563"/>
          <w:sz w:val="22"/>
          <w:szCs w:val="22"/>
          <w:lang w:val="pl"/>
        </w:rPr>
        <w:t>Potwierdza również swoją perspektywę ogłoszoną na rok 2025, z przychodami między 4,1 a 4,3 mld EUR, EBITDA między 3,3 a 3,5 mld EUR i cyklicznymi lewarowanymi wolnymi przepływami pieniężnymi między 2 a 2,2 mld EUR.</w:t>
      </w:r>
    </w:p>
    <w:bookmarkEnd w:id="2"/>
    <w:p w14:paraId="34D8169C" w14:textId="77777777" w:rsidR="00100152" w:rsidRPr="00DE766F" w:rsidRDefault="00100152" w:rsidP="00100152">
      <w:pPr>
        <w:suppressAutoHyphens/>
        <w:spacing w:line="240" w:lineRule="auto"/>
        <w:rPr>
          <w:b/>
          <w:bCs/>
          <w:color w:val="70AD47" w:themeColor="accent6"/>
          <w:spacing w:val="0"/>
          <w:sz w:val="24"/>
          <w:szCs w:val="24"/>
          <w:lang w:val="pl-PL"/>
        </w:rPr>
      </w:pPr>
      <w:r>
        <w:rPr>
          <w:b/>
          <w:bCs/>
          <w:color w:val="70AD47" w:themeColor="accent6"/>
          <w:sz w:val="24"/>
          <w:szCs w:val="24"/>
          <w:lang w:val="pl"/>
        </w:rPr>
        <w:t>O spółce Cellnex Telecom</w:t>
      </w:r>
    </w:p>
    <w:p w14:paraId="60E83643" w14:textId="77777777" w:rsidR="00100152" w:rsidRPr="00DE766F" w:rsidRDefault="00100152" w:rsidP="00100152">
      <w:pPr>
        <w:suppressAutoHyphens/>
        <w:spacing w:after="0" w:line="240" w:lineRule="auto"/>
        <w:rPr>
          <w:rFonts w:asciiTheme="minorHAnsi" w:hAnsiTheme="minorHAnsi"/>
          <w:color w:val="425563"/>
          <w:spacing w:val="0"/>
          <w:sz w:val="22"/>
          <w:szCs w:val="22"/>
          <w:lang w:val="pl-PL"/>
        </w:rPr>
      </w:pPr>
      <w:r>
        <w:rPr>
          <w:rFonts w:asciiTheme="minorHAnsi" w:hAnsiTheme="minorHAnsi"/>
          <w:color w:val="425563"/>
          <w:sz w:val="22"/>
          <w:szCs w:val="22"/>
          <w:lang w:val="pl"/>
        </w:rPr>
        <w:t>Wydajne wdrażanie technologii łączności nowej generacji jest kluczowym czynnikiem napędzającym innowacje technologiczne i przyspieszającym inkluzywny wzrost gospodarczy. Spółka Cellnex Telecom jest niezależnym operatorem bezprzewodowej infrastruktury telekomunikacyjnej i nadawczej, oferującym operatorom dostęp do najbardziej rozległej sieci zaawansowanej infrastruktury telekomunikacyjnej w Europie na zasadzie współdzielenia, przyczyniając się w ten sposób do znoszenia ograniczeń dla nowych operatorów i poprawy jakości usług dostępnych w najbardziej odległych zakątkach.</w:t>
      </w:r>
    </w:p>
    <w:p w14:paraId="47768F24" w14:textId="77777777" w:rsidR="00100152" w:rsidRPr="00DE766F" w:rsidRDefault="00100152" w:rsidP="00100152">
      <w:pPr>
        <w:suppressAutoHyphens/>
        <w:spacing w:after="0" w:line="240" w:lineRule="auto"/>
        <w:rPr>
          <w:rFonts w:asciiTheme="minorHAnsi" w:hAnsiTheme="minorHAnsi"/>
          <w:color w:val="425563"/>
          <w:spacing w:val="0"/>
          <w:sz w:val="22"/>
          <w:szCs w:val="22"/>
          <w:lang w:val="pl-PL"/>
        </w:rPr>
      </w:pPr>
    </w:p>
    <w:p w14:paraId="2A5E3A03" w14:textId="77777777" w:rsidR="00100152" w:rsidRPr="00DE766F" w:rsidRDefault="00100152" w:rsidP="00100152">
      <w:pPr>
        <w:suppressAutoHyphens/>
        <w:spacing w:after="0" w:line="240" w:lineRule="auto"/>
        <w:rPr>
          <w:rFonts w:asciiTheme="minorHAnsi" w:hAnsiTheme="minorHAnsi"/>
          <w:color w:val="425563"/>
          <w:spacing w:val="0"/>
          <w:sz w:val="22"/>
          <w:szCs w:val="22"/>
          <w:lang w:val="pl-PL"/>
        </w:rPr>
      </w:pPr>
      <w:r>
        <w:rPr>
          <w:rFonts w:asciiTheme="minorHAnsi" w:hAnsiTheme="minorHAnsi"/>
          <w:color w:val="425563"/>
          <w:sz w:val="22"/>
          <w:szCs w:val="22"/>
          <w:lang w:val="pl"/>
        </w:rPr>
        <w:t>Portfolio spółki Cellnex obejmuje około 135 000 stacji bazowych</w:t>
      </w:r>
      <w:r>
        <w:rPr>
          <w:rFonts w:asciiTheme="minorHAnsi" w:hAnsiTheme="minorHAnsi"/>
          <w:color w:val="425563"/>
          <w:sz w:val="24"/>
          <w:szCs w:val="22"/>
          <w:lang w:val="pl"/>
        </w:rPr>
        <w:t>–</w:t>
      </w:r>
      <w:r>
        <w:rPr>
          <w:rFonts w:asciiTheme="minorHAnsi" w:hAnsiTheme="minorHAnsi"/>
          <w:color w:val="425563"/>
          <w:sz w:val="22"/>
          <w:szCs w:val="22"/>
          <w:lang w:val="pl"/>
        </w:rPr>
        <w:t xml:space="preserve">w tym stacji, których uruchomienie jest przewidywane do roku 2030 – w Hiszpanii, Włoszech, Holandii, Francji, Szwajcarii, Wielkiej Brytanii, Irlandii, Portugalii, Austrii, Danii, Szwecji i Polsce. Struktura działalności biznesowej spółki Cellnex obejmuje cztery główne obszary: usługi związane z infrastrukturą telekomunikacyjną, sieci nadawcze sygnału audiowizualnego, sieci bezpieczeństwa i sieci służb ratowniczych oraz rozwiązania z zakresu inteligentnej infrastruktury miejskiej i zarządzania usługami (Smart Cities oraz Internet rzeczy [Internet of </w:t>
      </w:r>
      <w:proofErr w:type="spellStart"/>
      <w:r>
        <w:rPr>
          <w:rFonts w:asciiTheme="minorHAnsi" w:hAnsiTheme="minorHAnsi"/>
          <w:color w:val="425563"/>
          <w:sz w:val="22"/>
          <w:szCs w:val="22"/>
          <w:lang w:val="pl"/>
        </w:rPr>
        <w:t>Things</w:t>
      </w:r>
      <w:proofErr w:type="spellEnd"/>
      <w:r>
        <w:rPr>
          <w:rFonts w:asciiTheme="minorHAnsi" w:hAnsiTheme="minorHAnsi"/>
          <w:color w:val="425563"/>
          <w:sz w:val="22"/>
          <w:szCs w:val="22"/>
          <w:lang w:val="pl"/>
        </w:rPr>
        <w:t xml:space="preserve">, </w:t>
      </w:r>
      <w:proofErr w:type="spellStart"/>
      <w:r>
        <w:rPr>
          <w:rFonts w:asciiTheme="minorHAnsi" w:hAnsiTheme="minorHAnsi"/>
          <w:color w:val="425563"/>
          <w:sz w:val="22"/>
          <w:szCs w:val="22"/>
          <w:lang w:val="pl"/>
        </w:rPr>
        <w:t>IoT</w:t>
      </w:r>
      <w:proofErr w:type="spellEnd"/>
      <w:r>
        <w:rPr>
          <w:rFonts w:asciiTheme="minorHAnsi" w:hAnsiTheme="minorHAnsi"/>
          <w:color w:val="425563"/>
          <w:sz w:val="22"/>
          <w:szCs w:val="22"/>
          <w:lang w:val="pl"/>
        </w:rPr>
        <w:t>]).</w:t>
      </w:r>
    </w:p>
    <w:p w14:paraId="7BE44813" w14:textId="77777777" w:rsidR="00100152" w:rsidRPr="00DE766F" w:rsidRDefault="00100152" w:rsidP="00100152">
      <w:pPr>
        <w:suppressAutoHyphens/>
        <w:spacing w:after="0" w:line="240" w:lineRule="auto"/>
        <w:rPr>
          <w:rFonts w:asciiTheme="minorHAnsi" w:hAnsiTheme="minorHAnsi"/>
          <w:color w:val="425563"/>
          <w:spacing w:val="0"/>
          <w:sz w:val="22"/>
          <w:szCs w:val="22"/>
          <w:lang w:val="pl-PL"/>
        </w:rPr>
      </w:pPr>
    </w:p>
    <w:p w14:paraId="7FADE993" w14:textId="77777777" w:rsidR="00100152" w:rsidRPr="00DE766F" w:rsidRDefault="00100152" w:rsidP="00100152">
      <w:pPr>
        <w:suppressAutoHyphens/>
        <w:spacing w:after="0" w:line="240" w:lineRule="auto"/>
        <w:rPr>
          <w:rFonts w:asciiTheme="minorHAnsi" w:hAnsiTheme="minorHAnsi"/>
          <w:color w:val="425563"/>
          <w:spacing w:val="0"/>
          <w:sz w:val="22"/>
          <w:szCs w:val="22"/>
          <w:lang w:val="pl"/>
        </w:rPr>
      </w:pPr>
      <w:r>
        <w:rPr>
          <w:rFonts w:asciiTheme="minorHAnsi" w:hAnsiTheme="minorHAnsi"/>
          <w:color w:val="425563"/>
          <w:sz w:val="22"/>
          <w:szCs w:val="22"/>
          <w:lang w:val="pl"/>
        </w:rPr>
        <w:t xml:space="preserve">Spółka jest notowana na rynku ciągłym hiszpańskiej giełdy papierów wartościowych, została też ujęta w zawężonych indeksach IBEX 35 i EuroStoxx 100. Ujęta jest również w głównych indeksach zrównoważonego rozwoju, w tym w CDP (Carbon Disclosure Project), Sustainalytics, FTSE4Good i MSCI. Wśród akcjonariuszy referencyjnych spółki Cellnex można wymienić Edizione, GIC, TCI, Blackrock, CPP Investments, </w:t>
      </w:r>
      <w:proofErr w:type="spellStart"/>
      <w:r>
        <w:rPr>
          <w:rFonts w:asciiTheme="minorHAnsi" w:hAnsiTheme="minorHAnsi"/>
          <w:color w:val="425563"/>
          <w:sz w:val="22"/>
          <w:szCs w:val="22"/>
          <w:lang w:val="pl"/>
        </w:rPr>
        <w:t>CriteriaCaixa</w:t>
      </w:r>
      <w:proofErr w:type="spellEnd"/>
      <w:r>
        <w:rPr>
          <w:rFonts w:asciiTheme="minorHAnsi" w:hAnsiTheme="minorHAnsi"/>
          <w:color w:val="425563"/>
          <w:sz w:val="22"/>
          <w:szCs w:val="22"/>
          <w:lang w:val="pl"/>
        </w:rPr>
        <w:t xml:space="preserve"> i </w:t>
      </w:r>
      <w:proofErr w:type="spellStart"/>
      <w:r>
        <w:rPr>
          <w:rFonts w:asciiTheme="minorHAnsi" w:hAnsiTheme="minorHAnsi"/>
          <w:color w:val="425563"/>
          <w:sz w:val="22"/>
          <w:szCs w:val="22"/>
          <w:lang w:val="pl"/>
        </w:rPr>
        <w:t>Norges</w:t>
      </w:r>
      <w:proofErr w:type="spellEnd"/>
      <w:r>
        <w:rPr>
          <w:rFonts w:asciiTheme="minorHAnsi" w:hAnsiTheme="minorHAnsi"/>
          <w:color w:val="425563"/>
          <w:sz w:val="22"/>
          <w:szCs w:val="22"/>
          <w:lang w:val="pl"/>
        </w:rPr>
        <w:t xml:space="preserve"> Bank.</w:t>
      </w:r>
    </w:p>
    <w:p w14:paraId="4DE6A32A" w14:textId="77777777" w:rsidR="00100152" w:rsidRPr="00DE766F" w:rsidRDefault="00100152" w:rsidP="00100152">
      <w:pPr>
        <w:suppressAutoHyphens/>
        <w:spacing w:after="0" w:line="240" w:lineRule="auto"/>
        <w:rPr>
          <w:rFonts w:asciiTheme="minorHAnsi" w:hAnsiTheme="minorHAnsi"/>
          <w:color w:val="425563"/>
          <w:spacing w:val="0"/>
          <w:sz w:val="22"/>
          <w:szCs w:val="22"/>
          <w:lang w:val="pl"/>
        </w:rPr>
      </w:pPr>
    </w:p>
    <w:p w14:paraId="240E585A" w14:textId="77777777" w:rsidR="00100152" w:rsidRPr="00DE766F" w:rsidRDefault="00100152" w:rsidP="00100152">
      <w:pPr>
        <w:suppressAutoHyphens/>
        <w:spacing w:after="0" w:line="240" w:lineRule="auto"/>
        <w:rPr>
          <w:rFonts w:asciiTheme="minorHAnsi" w:hAnsiTheme="minorHAnsi"/>
          <w:color w:val="425563"/>
          <w:spacing w:val="0"/>
          <w:sz w:val="22"/>
          <w:szCs w:val="22"/>
          <w:lang w:val="pl-PL"/>
        </w:rPr>
      </w:pPr>
      <w:r>
        <w:rPr>
          <w:rFonts w:asciiTheme="minorHAnsi" w:hAnsiTheme="minorHAnsi"/>
          <w:color w:val="425563"/>
          <w:sz w:val="22"/>
          <w:szCs w:val="22"/>
          <w:lang w:val="pl"/>
        </w:rPr>
        <w:t xml:space="preserve">Dodatkowe informacje: </w:t>
      </w:r>
      <w:hyperlink r:id="rId8" w:history="1">
        <w:r>
          <w:rPr>
            <w:rStyle w:val="Hipercze"/>
            <w:sz w:val="22"/>
            <w:szCs w:val="22"/>
            <w:lang w:val="pl"/>
          </w:rPr>
          <w:t>https://www.cellnex.com</w:t>
        </w:r>
      </w:hyperlink>
      <w:r>
        <w:rPr>
          <w:rFonts w:asciiTheme="minorHAnsi" w:hAnsiTheme="minorHAnsi"/>
          <w:color w:val="0000FF"/>
          <w:sz w:val="22"/>
          <w:szCs w:val="22"/>
          <w:u w:val="single"/>
          <w:lang w:val="pl"/>
        </w:rPr>
        <w:t xml:space="preserve"> </w:t>
      </w:r>
    </w:p>
    <w:p w14:paraId="55604338" w14:textId="77777777" w:rsidR="00100152" w:rsidRPr="00DE766F" w:rsidRDefault="00100152" w:rsidP="00100152">
      <w:pPr>
        <w:suppressAutoHyphens/>
        <w:spacing w:after="0" w:line="240" w:lineRule="auto"/>
        <w:jc w:val="left"/>
        <w:rPr>
          <w:rFonts w:asciiTheme="minorHAnsi" w:hAnsiTheme="minorHAnsi" w:cs="Calibri"/>
          <w:b/>
          <w:color w:val="425563"/>
          <w:spacing w:val="0"/>
          <w:sz w:val="28"/>
          <w:szCs w:val="28"/>
          <w:lang w:val="pl-PL"/>
        </w:rPr>
      </w:pPr>
    </w:p>
    <w:p w14:paraId="68FFA2F8" w14:textId="77777777" w:rsidR="00100152" w:rsidRPr="00DE766F" w:rsidRDefault="00100152" w:rsidP="00100152">
      <w:pPr>
        <w:suppressAutoHyphens/>
        <w:spacing w:after="0" w:line="240" w:lineRule="auto"/>
        <w:jc w:val="left"/>
        <w:rPr>
          <w:rFonts w:asciiTheme="minorHAnsi" w:hAnsiTheme="minorHAnsi" w:cs="Calibri"/>
          <w:b/>
          <w:color w:val="425563"/>
          <w:spacing w:val="0"/>
          <w:sz w:val="28"/>
          <w:szCs w:val="28"/>
          <w:lang w:val="pl-PL"/>
        </w:rPr>
      </w:pPr>
    </w:p>
    <w:p w14:paraId="321BE5F4" w14:textId="77777777" w:rsidR="00100152" w:rsidRPr="00DE766F" w:rsidRDefault="00100152" w:rsidP="00100152">
      <w:pPr>
        <w:suppressAutoHyphens/>
        <w:spacing w:after="0" w:line="240" w:lineRule="auto"/>
        <w:jc w:val="left"/>
        <w:rPr>
          <w:rFonts w:asciiTheme="minorHAnsi" w:hAnsiTheme="minorHAnsi" w:cs="Calibri"/>
          <w:b/>
          <w:color w:val="425563"/>
          <w:spacing w:val="0"/>
          <w:sz w:val="28"/>
          <w:szCs w:val="28"/>
          <w:lang w:val="pl-PL"/>
        </w:rPr>
      </w:pPr>
    </w:p>
    <w:p w14:paraId="73517DA8" w14:textId="77777777" w:rsidR="00100152" w:rsidRPr="00DE766F" w:rsidRDefault="00100152" w:rsidP="00100152">
      <w:pPr>
        <w:suppressAutoHyphens/>
        <w:spacing w:after="0" w:line="240" w:lineRule="auto"/>
        <w:jc w:val="left"/>
        <w:rPr>
          <w:rFonts w:asciiTheme="minorHAnsi" w:hAnsiTheme="minorHAnsi" w:cs="Calibri"/>
          <w:b/>
          <w:color w:val="425563"/>
          <w:spacing w:val="0"/>
          <w:sz w:val="28"/>
          <w:szCs w:val="28"/>
          <w:lang w:val="pl-PL"/>
        </w:rPr>
      </w:pPr>
    </w:p>
    <w:p w14:paraId="184E82D4" w14:textId="77777777" w:rsidR="00100152" w:rsidRPr="00DE766F" w:rsidRDefault="00100152" w:rsidP="00100152">
      <w:pPr>
        <w:suppressAutoHyphens/>
        <w:spacing w:after="0" w:line="240" w:lineRule="auto"/>
        <w:jc w:val="left"/>
        <w:rPr>
          <w:rFonts w:asciiTheme="minorHAnsi" w:hAnsiTheme="minorHAnsi" w:cs="Calibri"/>
          <w:b/>
          <w:color w:val="425563"/>
          <w:spacing w:val="0"/>
          <w:sz w:val="28"/>
          <w:szCs w:val="28"/>
          <w:lang w:val="pl-PL"/>
        </w:rPr>
      </w:pPr>
    </w:p>
    <w:p w14:paraId="16FDCEF8" w14:textId="77777777" w:rsidR="00100152" w:rsidRPr="00DE766F" w:rsidRDefault="00100152" w:rsidP="00100152">
      <w:pPr>
        <w:suppressAutoHyphens/>
        <w:spacing w:after="0" w:line="240" w:lineRule="auto"/>
        <w:jc w:val="left"/>
        <w:rPr>
          <w:rFonts w:asciiTheme="minorHAnsi" w:hAnsiTheme="minorHAnsi" w:cs="Calibri"/>
          <w:b/>
          <w:color w:val="425563"/>
          <w:spacing w:val="0"/>
          <w:sz w:val="28"/>
          <w:szCs w:val="28"/>
          <w:lang w:val="pl-PL"/>
        </w:rPr>
      </w:pPr>
    </w:p>
    <w:p w14:paraId="21F9AC4E" w14:textId="77777777" w:rsidR="00100152" w:rsidRPr="00DE766F" w:rsidRDefault="00100152" w:rsidP="00100152">
      <w:pPr>
        <w:suppressAutoHyphens/>
        <w:spacing w:after="0" w:line="240" w:lineRule="auto"/>
        <w:jc w:val="left"/>
        <w:rPr>
          <w:rFonts w:asciiTheme="minorHAnsi" w:hAnsiTheme="minorHAnsi" w:cs="Calibri"/>
          <w:b/>
          <w:color w:val="425563"/>
          <w:spacing w:val="0"/>
          <w:sz w:val="28"/>
          <w:szCs w:val="28"/>
          <w:u w:val="single"/>
          <w:lang w:val="pl-PL"/>
        </w:rPr>
      </w:pPr>
    </w:p>
    <w:p w14:paraId="0253E642" w14:textId="77777777" w:rsidR="00100152" w:rsidRPr="00DE766F" w:rsidRDefault="00100152" w:rsidP="00100152">
      <w:pPr>
        <w:suppressAutoHyphens/>
        <w:spacing w:after="0" w:line="240" w:lineRule="auto"/>
        <w:jc w:val="left"/>
        <w:rPr>
          <w:rFonts w:asciiTheme="minorHAnsi" w:hAnsiTheme="minorHAnsi" w:cs="Calibri"/>
          <w:b/>
          <w:color w:val="425563"/>
          <w:spacing w:val="0"/>
          <w:sz w:val="28"/>
          <w:szCs w:val="28"/>
          <w:u w:val="single"/>
          <w:lang w:val="pl-PL"/>
        </w:rPr>
      </w:pPr>
    </w:p>
    <w:p w14:paraId="3108CD12" w14:textId="77777777" w:rsidR="00100152" w:rsidRPr="00DE766F" w:rsidRDefault="00100152" w:rsidP="00100152">
      <w:pPr>
        <w:suppressAutoHyphens/>
        <w:spacing w:after="0" w:line="240" w:lineRule="auto"/>
        <w:jc w:val="left"/>
        <w:rPr>
          <w:rFonts w:asciiTheme="minorHAnsi" w:hAnsiTheme="minorHAnsi" w:cs="Calibri"/>
          <w:b/>
          <w:color w:val="425563"/>
          <w:spacing w:val="0"/>
          <w:sz w:val="28"/>
          <w:szCs w:val="28"/>
          <w:u w:val="single"/>
          <w:lang w:val="pl-PL"/>
        </w:rPr>
      </w:pPr>
    </w:p>
    <w:p w14:paraId="39B001A2" w14:textId="77777777" w:rsidR="00100152" w:rsidRPr="00DE766F" w:rsidRDefault="00100152" w:rsidP="00100152">
      <w:pPr>
        <w:suppressAutoHyphens/>
        <w:spacing w:after="0" w:line="240" w:lineRule="auto"/>
        <w:jc w:val="left"/>
        <w:rPr>
          <w:rFonts w:cs="Calibri"/>
          <w:bCs/>
          <w:color w:val="425563"/>
          <w:spacing w:val="0"/>
          <w:sz w:val="28"/>
          <w:szCs w:val="28"/>
          <w:u w:val="single"/>
          <w:lang w:val="pl-PL"/>
        </w:rPr>
      </w:pPr>
      <w:r>
        <w:rPr>
          <w:rFonts w:cs="Calibri"/>
          <w:b/>
          <w:bCs/>
          <w:color w:val="425563"/>
          <w:sz w:val="28"/>
          <w:szCs w:val="28"/>
          <w:u w:val="single"/>
          <w:lang w:val="pl"/>
        </w:rPr>
        <w:lastRenderedPageBreak/>
        <w:t>Załącznik 1.</w:t>
      </w:r>
      <w:r>
        <w:rPr>
          <w:rFonts w:cs="Calibri"/>
          <w:color w:val="425563"/>
          <w:sz w:val="28"/>
          <w:szCs w:val="28"/>
          <w:u w:val="single"/>
          <w:lang w:val="pl"/>
        </w:rPr>
        <w:t xml:space="preserve"> Rachunek zysków i strat oraz bilans </w:t>
      </w:r>
      <w:r>
        <w:rPr>
          <w:rStyle w:val="Odwoanieprzypisudolnego"/>
          <w:rFonts w:asciiTheme="minorHAnsi" w:hAnsiTheme="minorHAnsi" w:cs="Calibri"/>
          <w:color w:val="425563"/>
          <w:sz w:val="28"/>
          <w:szCs w:val="28"/>
          <w:u w:val="single"/>
          <w:lang w:val="pl"/>
        </w:rPr>
        <w:footnoteReference w:id="5"/>
      </w:r>
      <w:r>
        <w:rPr>
          <w:rFonts w:cs="Calibri"/>
          <w:color w:val="425563"/>
          <w:sz w:val="28"/>
          <w:szCs w:val="28"/>
          <w:u w:val="single"/>
          <w:lang w:val="pl"/>
        </w:rPr>
        <w:t>(MSSF 16)</w:t>
      </w:r>
    </w:p>
    <w:p w14:paraId="303B7261" w14:textId="77777777" w:rsidR="00100152" w:rsidRPr="00DE766F" w:rsidRDefault="00100152" w:rsidP="00100152">
      <w:pPr>
        <w:suppressAutoHyphens/>
        <w:spacing w:after="0" w:line="240" w:lineRule="auto"/>
        <w:jc w:val="center"/>
        <w:rPr>
          <w:noProof/>
          <w:spacing w:val="0"/>
          <w:sz w:val="16"/>
          <w:szCs w:val="16"/>
          <w:lang w:val="pl-PL"/>
        </w:rPr>
      </w:pPr>
    </w:p>
    <w:p w14:paraId="739FB47F" w14:textId="2C41987F" w:rsidR="00100152" w:rsidRDefault="00100152" w:rsidP="00100152">
      <w:pPr>
        <w:suppressAutoHyphens/>
        <w:spacing w:after="0" w:line="240" w:lineRule="auto"/>
        <w:jc w:val="center"/>
        <w:rPr>
          <w:noProof/>
          <w:spacing w:val="0"/>
          <w:sz w:val="16"/>
          <w:szCs w:val="16"/>
        </w:rPr>
      </w:pPr>
    </w:p>
    <w:p w14:paraId="5464B003" w14:textId="02C3CAA4" w:rsidR="00DE766F" w:rsidRPr="00100152" w:rsidRDefault="00DE766F" w:rsidP="00100152">
      <w:pPr>
        <w:suppressAutoHyphens/>
        <w:spacing w:after="0" w:line="240" w:lineRule="auto"/>
        <w:jc w:val="center"/>
        <w:rPr>
          <w:noProof/>
          <w:spacing w:val="0"/>
          <w:sz w:val="16"/>
          <w:szCs w:val="16"/>
        </w:rPr>
      </w:pPr>
      <w:r>
        <w:rPr>
          <w:noProof/>
          <w:spacing w:val="0"/>
          <w:sz w:val="16"/>
          <w:szCs w:val="16"/>
        </w:rPr>
        <w:drawing>
          <wp:inline distT="0" distB="0" distL="0" distR="0" wp14:anchorId="527551D9" wp14:editId="771DF4E6">
            <wp:extent cx="5040898" cy="3898900"/>
            <wp:effectExtent l="0" t="0" r="762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1124" cy="3930013"/>
                    </a:xfrm>
                    <a:prstGeom prst="rect">
                      <a:avLst/>
                    </a:prstGeom>
                    <a:noFill/>
                    <a:ln>
                      <a:noFill/>
                    </a:ln>
                  </pic:spPr>
                </pic:pic>
              </a:graphicData>
            </a:graphic>
          </wp:inline>
        </w:drawing>
      </w:r>
    </w:p>
    <w:p w14:paraId="50DC745B" w14:textId="77777777" w:rsidR="00100152" w:rsidRPr="00100152" w:rsidRDefault="00100152" w:rsidP="00100152">
      <w:pPr>
        <w:suppressAutoHyphens/>
        <w:spacing w:after="0" w:line="240" w:lineRule="auto"/>
        <w:jc w:val="center"/>
        <w:rPr>
          <w:noProof/>
          <w:spacing w:val="0"/>
          <w:sz w:val="16"/>
          <w:szCs w:val="16"/>
        </w:rPr>
      </w:pPr>
    </w:p>
    <w:p w14:paraId="3468A997" w14:textId="77777777" w:rsidR="00100152" w:rsidRPr="00DE766F" w:rsidRDefault="00100152" w:rsidP="00100152">
      <w:pPr>
        <w:suppressAutoHyphens/>
        <w:spacing w:after="0" w:line="240" w:lineRule="auto"/>
        <w:ind w:left="567" w:right="113"/>
        <w:jc w:val="left"/>
        <w:rPr>
          <w:noProof/>
          <w:spacing w:val="0"/>
          <w:sz w:val="12"/>
          <w:szCs w:val="12"/>
          <w:lang w:val="pl-PL"/>
        </w:rPr>
      </w:pPr>
      <w:r>
        <w:rPr>
          <w:noProof/>
          <w:sz w:val="12"/>
          <w:szCs w:val="12"/>
          <w:lang w:val="pl"/>
        </w:rPr>
        <w:t>(1) Odpowiada zyskowi z działalności operacyjnej pomniejszonemu o zaliczki dla klientów. Zob. uwaga [20 a)] w naszym skonsolidowanym sprawozdaniu finansowym za rok kończący się 31 grudnia 2022 r.</w:t>
      </w:r>
      <w:r>
        <w:rPr>
          <w:noProof/>
          <w:sz w:val="12"/>
          <w:szCs w:val="12"/>
          <w:lang w:val="pl"/>
        </w:rPr>
        <w:tab/>
      </w:r>
    </w:p>
    <w:p w14:paraId="2E3EDA3A" w14:textId="77777777" w:rsidR="00100152" w:rsidRPr="00DE766F" w:rsidRDefault="00100152" w:rsidP="00100152">
      <w:pPr>
        <w:suppressAutoHyphens/>
        <w:spacing w:after="0" w:line="240" w:lineRule="auto"/>
        <w:ind w:left="567" w:right="113"/>
        <w:jc w:val="left"/>
        <w:rPr>
          <w:noProof/>
          <w:spacing w:val="0"/>
          <w:sz w:val="12"/>
          <w:szCs w:val="12"/>
          <w:lang w:val="pl-PL"/>
        </w:rPr>
      </w:pPr>
      <w:r>
        <w:rPr>
          <w:noProof/>
          <w:sz w:val="12"/>
          <w:szCs w:val="12"/>
          <w:lang w:val="pl"/>
        </w:rPr>
        <w:t>(2) Skorygowany wskaźnik EBITDA podzielony przez łączne przychody z wyłączeniem pozycji przenoszonych na klientów (głównie energii elektrycznej) zarówno z kosztów, jak i z przychodów.</w:t>
      </w:r>
      <w:r>
        <w:rPr>
          <w:noProof/>
          <w:sz w:val="12"/>
          <w:szCs w:val="12"/>
          <w:lang w:val="pl"/>
        </w:rPr>
        <w:tab/>
      </w:r>
      <w:r>
        <w:rPr>
          <w:noProof/>
          <w:sz w:val="12"/>
          <w:szCs w:val="12"/>
          <w:lang w:val="pl"/>
        </w:rPr>
        <w:tab/>
      </w:r>
    </w:p>
    <w:p w14:paraId="3C46AAC7" w14:textId="77777777" w:rsidR="00100152" w:rsidRPr="00DE766F" w:rsidRDefault="00100152" w:rsidP="00100152">
      <w:pPr>
        <w:suppressAutoHyphens/>
        <w:spacing w:after="0" w:line="240" w:lineRule="auto"/>
        <w:ind w:left="567" w:right="113"/>
        <w:jc w:val="left"/>
        <w:rPr>
          <w:noProof/>
          <w:spacing w:val="0"/>
          <w:sz w:val="12"/>
          <w:szCs w:val="12"/>
          <w:lang w:val="pl-PL"/>
        </w:rPr>
      </w:pPr>
      <w:r>
        <w:rPr>
          <w:noProof/>
          <w:sz w:val="12"/>
          <w:szCs w:val="12"/>
          <w:lang w:val="pl"/>
        </w:rPr>
        <w:tab/>
      </w:r>
      <w:r>
        <w:rPr>
          <w:noProof/>
          <w:sz w:val="12"/>
          <w:szCs w:val="12"/>
          <w:lang w:val="pl"/>
        </w:rPr>
        <w:tab/>
      </w:r>
      <w:r>
        <w:rPr>
          <w:noProof/>
          <w:sz w:val="12"/>
          <w:szCs w:val="12"/>
          <w:lang w:val="pl"/>
        </w:rPr>
        <w:tab/>
      </w:r>
      <w:r>
        <w:rPr>
          <w:noProof/>
          <w:sz w:val="12"/>
          <w:szCs w:val="12"/>
          <w:lang w:val="pl"/>
        </w:rPr>
        <w:tab/>
      </w:r>
      <w:r>
        <w:rPr>
          <w:noProof/>
          <w:sz w:val="12"/>
          <w:szCs w:val="12"/>
          <w:lang w:val="pl"/>
        </w:rPr>
        <w:tab/>
      </w:r>
      <w:r>
        <w:rPr>
          <w:noProof/>
          <w:sz w:val="12"/>
          <w:szCs w:val="12"/>
          <w:lang w:val="pl"/>
        </w:rPr>
        <w:tab/>
      </w:r>
      <w:r>
        <w:rPr>
          <w:noProof/>
          <w:sz w:val="12"/>
          <w:szCs w:val="12"/>
          <w:lang w:val="pl"/>
        </w:rPr>
        <w:tab/>
      </w:r>
      <w:r>
        <w:rPr>
          <w:noProof/>
          <w:sz w:val="12"/>
          <w:szCs w:val="12"/>
          <w:lang w:val="pl"/>
        </w:rPr>
        <w:tab/>
      </w:r>
    </w:p>
    <w:p w14:paraId="7E12679C" w14:textId="350498F2" w:rsidR="00100152" w:rsidRDefault="00100152" w:rsidP="00100152">
      <w:pPr>
        <w:pStyle w:val="Cuadrculamedia1-nfasis21"/>
        <w:numPr>
          <w:ilvl w:val="0"/>
          <w:numId w:val="0"/>
        </w:numPr>
        <w:suppressAutoHyphens/>
        <w:spacing w:before="120" w:after="120" w:line="240" w:lineRule="auto"/>
        <w:ind w:left="1134" w:right="1247"/>
        <w:jc w:val="center"/>
        <w:rPr>
          <w:rFonts w:asciiTheme="minorHAnsi" w:hAnsiTheme="minorHAnsi"/>
          <w:color w:val="425563"/>
          <w:spacing w:val="0"/>
          <w:sz w:val="14"/>
          <w:szCs w:val="14"/>
        </w:rPr>
      </w:pPr>
    </w:p>
    <w:p w14:paraId="04192124" w14:textId="4BC08D96" w:rsidR="00DE766F" w:rsidRPr="00100152" w:rsidRDefault="00DE766F" w:rsidP="00100152">
      <w:pPr>
        <w:pStyle w:val="Cuadrculamedia1-nfasis21"/>
        <w:numPr>
          <w:ilvl w:val="0"/>
          <w:numId w:val="0"/>
        </w:numPr>
        <w:suppressAutoHyphens/>
        <w:spacing w:before="120" w:after="120" w:line="240" w:lineRule="auto"/>
        <w:ind w:left="1134" w:right="1247"/>
        <w:jc w:val="center"/>
        <w:rPr>
          <w:rFonts w:asciiTheme="minorHAnsi" w:hAnsiTheme="minorHAnsi"/>
          <w:color w:val="425563"/>
          <w:spacing w:val="0"/>
          <w:sz w:val="14"/>
          <w:szCs w:val="14"/>
        </w:rPr>
      </w:pPr>
      <w:r>
        <w:rPr>
          <w:rFonts w:asciiTheme="minorHAnsi" w:hAnsiTheme="minorHAnsi"/>
          <w:noProof/>
          <w:color w:val="425563"/>
          <w:spacing w:val="0"/>
          <w:sz w:val="14"/>
          <w:szCs w:val="14"/>
        </w:rPr>
        <w:lastRenderedPageBreak/>
        <w:drawing>
          <wp:inline distT="0" distB="0" distL="0" distR="0" wp14:anchorId="66619DE4" wp14:editId="69465F3D">
            <wp:extent cx="4245610" cy="4702810"/>
            <wp:effectExtent l="0" t="0" r="2540" b="254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5610" cy="4702810"/>
                    </a:xfrm>
                    <a:prstGeom prst="rect">
                      <a:avLst/>
                    </a:prstGeom>
                    <a:noFill/>
                    <a:ln>
                      <a:noFill/>
                    </a:ln>
                  </pic:spPr>
                </pic:pic>
              </a:graphicData>
            </a:graphic>
          </wp:inline>
        </w:drawing>
      </w:r>
    </w:p>
    <w:p w14:paraId="231DCB47" w14:textId="77777777" w:rsidR="00100152" w:rsidRPr="00100152" w:rsidRDefault="00100152" w:rsidP="00100152">
      <w:pPr>
        <w:pStyle w:val="Cuadrculamedia1-nfasis21"/>
        <w:numPr>
          <w:ilvl w:val="0"/>
          <w:numId w:val="0"/>
        </w:numPr>
        <w:suppressAutoHyphens/>
        <w:spacing w:before="120" w:after="120" w:line="240" w:lineRule="auto"/>
        <w:ind w:left="1134" w:right="1247"/>
        <w:jc w:val="center"/>
        <w:rPr>
          <w:rFonts w:asciiTheme="minorHAnsi" w:hAnsiTheme="minorHAnsi"/>
          <w:color w:val="425563"/>
          <w:spacing w:val="0"/>
          <w:sz w:val="8"/>
          <w:szCs w:val="8"/>
        </w:rPr>
      </w:pPr>
    </w:p>
    <w:p w14:paraId="490C2328" w14:textId="77777777" w:rsidR="00100152" w:rsidRPr="00DE766F" w:rsidRDefault="00100152" w:rsidP="00100152">
      <w:pPr>
        <w:suppressAutoHyphens/>
        <w:spacing w:after="0" w:line="240" w:lineRule="auto"/>
        <w:ind w:left="567" w:right="113"/>
        <w:rPr>
          <w:rFonts w:asciiTheme="minorHAnsi" w:hAnsiTheme="minorHAnsi"/>
          <w:color w:val="425563"/>
          <w:spacing w:val="0"/>
          <w:sz w:val="12"/>
          <w:szCs w:val="12"/>
          <w:lang w:val="pl-PL"/>
        </w:rPr>
      </w:pPr>
      <w:r>
        <w:rPr>
          <w:rFonts w:asciiTheme="minorHAnsi" w:hAnsiTheme="minorHAnsi"/>
          <w:color w:val="425563"/>
          <w:sz w:val="12"/>
          <w:szCs w:val="12"/>
          <w:lang w:val="pl"/>
        </w:rPr>
        <w:t>(1) Zawiera „Pochodne instrumenty finansowe”, „Należności z tytułu dostaw i usług oraz pozostałe należności” oraz „Aktywa z tytułu odroczonego podatku dochodowego”. Zob. skonsolidowane sprawozdanie finansowe za rok kończący się 31 grudnia 2022 r.</w:t>
      </w:r>
    </w:p>
    <w:p w14:paraId="71AD907E" w14:textId="77777777" w:rsidR="00100152" w:rsidRPr="00DE766F" w:rsidRDefault="00100152" w:rsidP="00100152">
      <w:pPr>
        <w:suppressAutoHyphens/>
        <w:spacing w:after="0" w:line="240" w:lineRule="auto"/>
        <w:ind w:left="567" w:right="113"/>
        <w:rPr>
          <w:rFonts w:asciiTheme="minorHAnsi" w:hAnsiTheme="minorHAnsi"/>
          <w:color w:val="425563"/>
          <w:spacing w:val="0"/>
          <w:sz w:val="12"/>
          <w:szCs w:val="12"/>
          <w:lang w:val="pl-PL"/>
        </w:rPr>
      </w:pPr>
      <w:r>
        <w:rPr>
          <w:rFonts w:asciiTheme="minorHAnsi" w:hAnsiTheme="minorHAnsi"/>
          <w:color w:val="425563"/>
          <w:sz w:val="12"/>
          <w:szCs w:val="12"/>
          <w:lang w:val="pl"/>
        </w:rPr>
        <w:t>(2) Zawiera „Należności od jednostek powiązanych” oraz „Inwestycje finansowe”. Zob. skonsolidowane sprawozdanie finansowe za rok kończący się 31 grudnia 2022 r.</w:t>
      </w:r>
    </w:p>
    <w:p w14:paraId="2A8D1F3F" w14:textId="77777777" w:rsidR="00100152" w:rsidRPr="00DE766F" w:rsidRDefault="00100152" w:rsidP="00100152">
      <w:pPr>
        <w:suppressAutoHyphens/>
        <w:spacing w:after="0" w:line="240" w:lineRule="auto"/>
        <w:ind w:left="567" w:right="113"/>
        <w:rPr>
          <w:rFonts w:asciiTheme="minorHAnsi" w:hAnsiTheme="minorHAnsi"/>
          <w:color w:val="425563"/>
          <w:spacing w:val="0"/>
          <w:sz w:val="12"/>
          <w:szCs w:val="12"/>
          <w:lang w:val="pl-PL"/>
        </w:rPr>
      </w:pPr>
      <w:r>
        <w:rPr>
          <w:rFonts w:asciiTheme="minorHAnsi" w:hAnsiTheme="minorHAnsi"/>
          <w:color w:val="425563"/>
          <w:sz w:val="12"/>
          <w:szCs w:val="12"/>
          <w:lang w:val="pl"/>
        </w:rPr>
        <w:t>(3) Zawiera „Rezerwy i inne zobowiązania”, „Zobowiązania z tytułu świadczeń pracowniczych”, „Zobowiązania z tytułu podatku odroczonego”, „Pochodne instrumenty finansowe” oraz „Inne zobowiązania finansowe”. Zob. skonsolidowane sprawozdanie finansowe za rok kończący się 31 grudnia 2022 r.</w:t>
      </w:r>
    </w:p>
    <w:p w14:paraId="02F475E7" w14:textId="77777777" w:rsidR="00100152" w:rsidRPr="00DE766F" w:rsidRDefault="00100152" w:rsidP="00100152">
      <w:pPr>
        <w:suppressAutoHyphens/>
        <w:spacing w:after="0" w:line="240" w:lineRule="auto"/>
        <w:ind w:left="567" w:right="113"/>
        <w:rPr>
          <w:rFonts w:asciiTheme="minorHAnsi" w:hAnsiTheme="minorHAnsi"/>
          <w:color w:val="425563"/>
          <w:spacing w:val="0"/>
          <w:sz w:val="12"/>
          <w:szCs w:val="12"/>
          <w:lang w:val="pl-PL"/>
        </w:rPr>
      </w:pPr>
      <w:r>
        <w:rPr>
          <w:rFonts w:asciiTheme="minorHAnsi" w:hAnsiTheme="minorHAnsi"/>
          <w:color w:val="425563"/>
          <w:sz w:val="12"/>
          <w:szCs w:val="12"/>
          <w:lang w:val="pl"/>
        </w:rPr>
        <w:t>(4) Zawiera „Zobowiązania z tytułu świadczeń pracowniczych”, „Zobowiązania na rzecz jednostek powiązanych”, „Zobowiązania z tytułu dostaw i usług oraz pozostałe zobowiązania”, „Pochodne instrumenty finansowe” oraz „Inne zobowiązania finansowe”.  Zob. skonsolidowane sprawozdanie finansowe za rok kończący się 31 grudnia 2022 r.</w:t>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r>
        <w:rPr>
          <w:rFonts w:asciiTheme="minorHAnsi" w:hAnsiTheme="minorHAnsi"/>
          <w:color w:val="425563"/>
          <w:sz w:val="12"/>
          <w:szCs w:val="12"/>
          <w:lang w:val="pl"/>
        </w:rPr>
        <w:tab/>
      </w:r>
    </w:p>
    <w:p w14:paraId="5A4A5CF1"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32E89672"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7BE3D54A"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67C01F61"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76D12C7F"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432E4925"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0E14BCED"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4640406D"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21558E02"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27D557C7"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7A9E1128"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775BD35D" w14:textId="3E95244A" w:rsidR="00100152" w:rsidRPr="00DE766F" w:rsidRDefault="00100152" w:rsidP="00100152">
      <w:pPr>
        <w:suppressAutoHyphens/>
        <w:spacing w:after="0" w:line="240" w:lineRule="auto"/>
        <w:ind w:left="567" w:right="113" w:hanging="567"/>
        <w:jc w:val="left"/>
        <w:rPr>
          <w:b/>
          <w:bCs/>
          <w:color w:val="808080" w:themeColor="background1" w:themeShade="80"/>
          <w:spacing w:val="0"/>
          <w:sz w:val="28"/>
          <w:szCs w:val="28"/>
          <w:u w:val="single"/>
          <w:lang w:val="pl-PL"/>
        </w:rPr>
      </w:pPr>
      <w:r>
        <w:rPr>
          <w:b/>
          <w:bCs/>
          <w:color w:val="425563"/>
          <w:sz w:val="28"/>
          <w:szCs w:val="28"/>
          <w:u w:val="single"/>
          <w:lang w:val="pl"/>
        </w:rPr>
        <w:lastRenderedPageBreak/>
        <w:t>Załącznik 2.</w:t>
      </w:r>
      <w:r>
        <w:rPr>
          <w:sz w:val="28"/>
          <w:szCs w:val="28"/>
          <w:lang w:val="pl"/>
        </w:rPr>
        <w:t>_</w:t>
      </w:r>
      <w:r>
        <w:rPr>
          <w:color w:val="425563"/>
          <w:sz w:val="28"/>
          <w:szCs w:val="28"/>
          <w:u w:val="single"/>
          <w:lang w:val="pl"/>
        </w:rPr>
        <w:t>Znaczące wydarzenia w roku 2022</w:t>
      </w:r>
    </w:p>
    <w:p w14:paraId="18C89CB0" w14:textId="77777777" w:rsidR="00100152" w:rsidRPr="00DE766F" w:rsidRDefault="00100152" w:rsidP="00100152">
      <w:pPr>
        <w:suppressAutoHyphens/>
        <w:rPr>
          <w:rFonts w:asciiTheme="minorHAnsi" w:hAnsiTheme="minorHAnsi" w:cs="Verdana-Bold"/>
          <w:bCs/>
          <w:color w:val="425563"/>
          <w:spacing w:val="0"/>
          <w:sz w:val="22"/>
          <w:szCs w:val="22"/>
          <w:lang w:val="pl-PL"/>
        </w:rPr>
      </w:pPr>
    </w:p>
    <w:p w14:paraId="632FC6C1"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r>
        <w:rPr>
          <w:rFonts w:cs="Verdana-Bold"/>
          <w:b/>
          <w:bCs/>
          <w:color w:val="425563"/>
          <w:sz w:val="22"/>
          <w:szCs w:val="22"/>
          <w:u w:val="single"/>
          <w:lang w:val="pl"/>
        </w:rPr>
        <w:t>Styczeń</w:t>
      </w:r>
    </w:p>
    <w:p w14:paraId="3AE8CA82" w14:textId="77777777" w:rsidR="00100152" w:rsidRPr="00100152" w:rsidRDefault="00100152" w:rsidP="00100152">
      <w:pPr>
        <w:suppressAutoHyphens/>
        <w:spacing w:after="0" w:line="240" w:lineRule="auto"/>
        <w:jc w:val="left"/>
        <w:rPr>
          <w:rFonts w:asciiTheme="minorHAnsi" w:hAnsiTheme="minorHAnsi" w:cs="Verdana-Bold"/>
          <w:bCs/>
          <w:color w:val="425563"/>
          <w:spacing w:val="0"/>
          <w:sz w:val="22"/>
          <w:szCs w:val="22"/>
        </w:rPr>
      </w:pPr>
    </w:p>
    <w:p w14:paraId="0FADA263" w14:textId="77777777" w:rsidR="00100152" w:rsidRPr="00DE766F" w:rsidRDefault="00100152" w:rsidP="00100152">
      <w:pPr>
        <w:pStyle w:val="Akapitzlist"/>
        <w:numPr>
          <w:ilvl w:val="0"/>
          <w:numId w:val="4"/>
        </w:numPr>
        <w:suppressAutoHyphens/>
        <w:spacing w:after="60" w:line="240" w:lineRule="auto"/>
        <w:ind w:left="714" w:hanging="357"/>
        <w:contextualSpacing w:val="0"/>
        <w:jc w:val="left"/>
        <w:rPr>
          <w:bCs/>
          <w:color w:val="425563"/>
          <w:spacing w:val="0"/>
          <w:lang w:val="pl-PL"/>
        </w:rPr>
      </w:pPr>
      <w:r>
        <w:rPr>
          <w:b/>
          <w:bCs/>
          <w:color w:val="425563"/>
          <w:lang w:val="pl"/>
        </w:rPr>
        <w:t xml:space="preserve">4 stycznia </w:t>
      </w:r>
      <w:r>
        <w:rPr>
          <w:lang w:val="pl"/>
        </w:rPr>
        <w:t xml:space="preserve">spółka Deutsche Telekom piąty rok z rzędu odnawia status spółki Cellnex jako „Usługodawcy bez przestojów” (Zero </w:t>
      </w:r>
      <w:proofErr w:type="spellStart"/>
      <w:r>
        <w:rPr>
          <w:lang w:val="pl"/>
        </w:rPr>
        <w:t>Outage</w:t>
      </w:r>
      <w:proofErr w:type="spellEnd"/>
      <w:r>
        <w:rPr>
          <w:lang w:val="pl"/>
        </w:rPr>
        <w:t xml:space="preserve"> Supplier)</w:t>
      </w:r>
      <w:r>
        <w:rPr>
          <w:color w:val="425563"/>
          <w:lang w:val="pl"/>
        </w:rPr>
        <w:t xml:space="preserve"> w Hiszpanii.</w:t>
      </w:r>
    </w:p>
    <w:p w14:paraId="133B7C8B" w14:textId="77777777" w:rsidR="00100152" w:rsidRPr="00DE766F" w:rsidRDefault="00100152" w:rsidP="00100152">
      <w:pPr>
        <w:pStyle w:val="Akapitzlist"/>
        <w:numPr>
          <w:ilvl w:val="0"/>
          <w:numId w:val="4"/>
        </w:numPr>
        <w:suppressAutoHyphens/>
        <w:spacing w:after="60" w:line="240" w:lineRule="auto"/>
        <w:ind w:left="714" w:hanging="357"/>
        <w:contextualSpacing w:val="0"/>
        <w:jc w:val="left"/>
        <w:rPr>
          <w:bCs/>
          <w:color w:val="425563"/>
          <w:spacing w:val="0"/>
          <w:lang w:val="pl-PL"/>
        </w:rPr>
      </w:pPr>
      <w:r>
        <w:rPr>
          <w:b/>
          <w:bCs/>
          <w:color w:val="425563"/>
          <w:lang w:val="pl"/>
        </w:rPr>
        <w:t xml:space="preserve">26 stycznia </w:t>
      </w:r>
      <w:r>
        <w:rPr>
          <w:lang w:val="pl"/>
        </w:rPr>
        <w:t>spółka Cellnex zostaje włączona do indeksu równouprawnienia płci (Gender Equality Index) spółki Bloomberg za swoje zaangażowanie w równość, różnorodność i </w:t>
      </w:r>
      <w:proofErr w:type="spellStart"/>
      <w:r>
        <w:rPr>
          <w:lang w:val="pl"/>
        </w:rPr>
        <w:t>inkluzywność</w:t>
      </w:r>
      <w:proofErr w:type="spellEnd"/>
      <w:r>
        <w:rPr>
          <w:lang w:val="pl"/>
        </w:rPr>
        <w:t>.</w:t>
      </w:r>
    </w:p>
    <w:p w14:paraId="6C25AC65" w14:textId="77777777" w:rsidR="00100152" w:rsidRPr="00DE766F" w:rsidRDefault="00100152" w:rsidP="00100152">
      <w:pPr>
        <w:suppressAutoHyphens/>
        <w:spacing w:after="0" w:line="240" w:lineRule="auto"/>
        <w:jc w:val="left"/>
        <w:rPr>
          <w:rFonts w:asciiTheme="minorHAnsi" w:hAnsiTheme="minorHAnsi" w:cs="Verdana-Bold"/>
          <w:b/>
          <w:bCs/>
          <w:color w:val="425563"/>
          <w:spacing w:val="0"/>
          <w:sz w:val="22"/>
          <w:szCs w:val="22"/>
          <w:u w:val="single"/>
          <w:lang w:val="pl-PL"/>
        </w:rPr>
      </w:pPr>
    </w:p>
    <w:p w14:paraId="7C539EF7"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r>
        <w:rPr>
          <w:rFonts w:cs="Verdana-Bold"/>
          <w:b/>
          <w:bCs/>
          <w:color w:val="425563"/>
          <w:sz w:val="22"/>
          <w:szCs w:val="22"/>
          <w:u w:val="single"/>
          <w:lang w:val="pl"/>
        </w:rPr>
        <w:t>Luty</w:t>
      </w:r>
    </w:p>
    <w:p w14:paraId="2F0668BC" w14:textId="77777777" w:rsidR="00100152" w:rsidRPr="00100152" w:rsidRDefault="00100152" w:rsidP="00100152">
      <w:pPr>
        <w:suppressAutoHyphens/>
        <w:spacing w:after="0" w:line="240" w:lineRule="auto"/>
        <w:jc w:val="left"/>
        <w:rPr>
          <w:rFonts w:asciiTheme="minorHAnsi" w:hAnsiTheme="minorHAnsi" w:cs="Verdana-Bold"/>
          <w:b/>
          <w:bCs/>
          <w:color w:val="425563"/>
          <w:spacing w:val="0"/>
          <w:sz w:val="22"/>
          <w:szCs w:val="22"/>
          <w:u w:val="single"/>
        </w:rPr>
      </w:pPr>
    </w:p>
    <w:p w14:paraId="23ECC9A4" w14:textId="77777777" w:rsidR="00100152" w:rsidRPr="00DE766F" w:rsidRDefault="00100152" w:rsidP="00100152">
      <w:pPr>
        <w:pStyle w:val="Akapitzlist"/>
        <w:numPr>
          <w:ilvl w:val="0"/>
          <w:numId w:val="5"/>
        </w:numPr>
        <w:suppressAutoHyphens/>
        <w:spacing w:after="60" w:line="240" w:lineRule="auto"/>
        <w:ind w:left="714" w:hanging="357"/>
        <w:contextualSpacing w:val="0"/>
        <w:jc w:val="left"/>
        <w:rPr>
          <w:rFonts w:cs="Verdana-Bold"/>
          <w:bCs/>
          <w:color w:val="425563"/>
          <w:spacing w:val="0"/>
          <w:lang w:val="pl-PL"/>
        </w:rPr>
      </w:pPr>
      <w:r>
        <w:rPr>
          <w:rFonts w:cs="Verdana-Bold"/>
          <w:b/>
          <w:bCs/>
          <w:color w:val="425563"/>
          <w:lang w:val="pl"/>
        </w:rPr>
        <w:t xml:space="preserve">3 lutego </w:t>
      </w:r>
      <w:r>
        <w:rPr>
          <w:rFonts w:cs="Verdana-Bold"/>
          <w:lang w:val="pl"/>
        </w:rPr>
        <w:t xml:space="preserve">spółka Lorin Networks wybiera infrastrukturę spółki Cellnex jako podstawę instalacji i uruchomienia krajowej sieci </w:t>
      </w:r>
      <w:proofErr w:type="spellStart"/>
      <w:r>
        <w:rPr>
          <w:rFonts w:cs="Verdana-Bold"/>
          <w:lang w:val="pl"/>
        </w:rPr>
        <w:t>IoT</w:t>
      </w:r>
      <w:proofErr w:type="spellEnd"/>
      <w:r>
        <w:rPr>
          <w:rFonts w:cs="Verdana-Bold"/>
          <w:lang w:val="pl"/>
        </w:rPr>
        <w:t xml:space="preserve"> w Portugalii</w:t>
      </w:r>
      <w:r>
        <w:rPr>
          <w:rFonts w:cs="Verdana-Bold"/>
          <w:color w:val="425563"/>
          <w:lang w:val="pl"/>
        </w:rPr>
        <w:t>.</w:t>
      </w:r>
    </w:p>
    <w:p w14:paraId="4E006E25" w14:textId="77777777" w:rsidR="00100152" w:rsidRPr="00DE766F" w:rsidRDefault="00100152" w:rsidP="00100152">
      <w:pPr>
        <w:pStyle w:val="Akapitzlist"/>
        <w:numPr>
          <w:ilvl w:val="0"/>
          <w:numId w:val="5"/>
        </w:numPr>
        <w:suppressAutoHyphens/>
        <w:spacing w:after="60" w:line="240" w:lineRule="auto"/>
        <w:ind w:left="714" w:hanging="357"/>
        <w:contextualSpacing w:val="0"/>
        <w:jc w:val="left"/>
        <w:rPr>
          <w:rFonts w:cs="Verdana-Bold"/>
          <w:bCs/>
          <w:color w:val="425563"/>
          <w:spacing w:val="0"/>
          <w:lang w:val="pl-PL"/>
        </w:rPr>
      </w:pPr>
      <w:r>
        <w:rPr>
          <w:rFonts w:cs="Verdana-Bold"/>
          <w:b/>
          <w:bCs/>
          <w:color w:val="425563"/>
          <w:lang w:val="pl"/>
        </w:rPr>
        <w:t xml:space="preserve">15 lutego </w:t>
      </w:r>
      <w:r>
        <w:rPr>
          <w:rFonts w:cs="Verdana-Bold"/>
          <w:lang w:val="pl"/>
        </w:rPr>
        <w:t>spółka Cellnex zostaje uznana przez organizację CDP za „Lidera zaangażowania dostawców 2021” (Supplier Engagement Leader)</w:t>
      </w:r>
      <w:r>
        <w:rPr>
          <w:rFonts w:cs="Verdana-Bold"/>
          <w:color w:val="425563"/>
          <w:lang w:val="pl"/>
        </w:rPr>
        <w:t xml:space="preserve"> za pracę na rzecz walki ze zmianą klimatu i działania podjęte w celu zmierzenia i zmniejszenia wpływu swojego łańcucha dostaw na środowisko.</w:t>
      </w:r>
    </w:p>
    <w:p w14:paraId="018E6BEB" w14:textId="77777777" w:rsidR="00100152" w:rsidRPr="00DE766F" w:rsidRDefault="00100152" w:rsidP="00100152">
      <w:pPr>
        <w:pStyle w:val="Akapitzlist"/>
        <w:numPr>
          <w:ilvl w:val="0"/>
          <w:numId w:val="5"/>
        </w:numPr>
        <w:suppressAutoHyphens/>
        <w:spacing w:after="60" w:line="240" w:lineRule="auto"/>
        <w:ind w:left="714" w:hanging="357"/>
        <w:contextualSpacing w:val="0"/>
        <w:jc w:val="left"/>
        <w:rPr>
          <w:rFonts w:cs="Verdana-Bold"/>
          <w:bCs/>
          <w:color w:val="425563"/>
          <w:spacing w:val="0"/>
          <w:lang w:val="pl-PL"/>
        </w:rPr>
      </w:pPr>
      <w:r>
        <w:rPr>
          <w:rFonts w:cs="Verdana-Bold"/>
          <w:b/>
          <w:bCs/>
          <w:color w:val="425563"/>
          <w:lang w:val="pl"/>
        </w:rPr>
        <w:t xml:space="preserve">25 lutego </w:t>
      </w:r>
      <w:r>
        <w:rPr>
          <w:rFonts w:cs="Verdana-Bold"/>
          <w:lang w:val="pl"/>
        </w:rPr>
        <w:t>spółki Cellnex i BT zacieśniają współpracę w Wielkiej Brytanii</w:t>
      </w:r>
      <w:r>
        <w:rPr>
          <w:rFonts w:cs="Verdana-Bold"/>
          <w:color w:val="425563"/>
          <w:lang w:val="pl"/>
        </w:rPr>
        <w:t>, zawierając umowę „na wiele dziesięcioleci”.</w:t>
      </w:r>
    </w:p>
    <w:p w14:paraId="4FCECE1E" w14:textId="77777777" w:rsidR="00100152" w:rsidRPr="00DE766F" w:rsidRDefault="00100152" w:rsidP="00100152">
      <w:pPr>
        <w:pStyle w:val="Akapitzlist"/>
        <w:numPr>
          <w:ilvl w:val="0"/>
          <w:numId w:val="5"/>
        </w:numPr>
        <w:suppressAutoHyphens/>
        <w:spacing w:after="60" w:line="240" w:lineRule="auto"/>
        <w:ind w:left="714" w:hanging="357"/>
        <w:contextualSpacing w:val="0"/>
        <w:jc w:val="left"/>
        <w:rPr>
          <w:rFonts w:cs="Verdana-Bold"/>
          <w:bCs/>
          <w:color w:val="425563"/>
          <w:spacing w:val="0"/>
          <w:lang w:val="pl-PL"/>
        </w:rPr>
      </w:pPr>
      <w:r>
        <w:rPr>
          <w:rFonts w:cs="Verdana-Bold"/>
          <w:b/>
          <w:bCs/>
          <w:color w:val="425563"/>
          <w:lang w:val="pl"/>
        </w:rPr>
        <w:t xml:space="preserve">28 lutego </w:t>
      </w:r>
      <w:r>
        <w:rPr>
          <w:rFonts w:cs="Verdana-Bold"/>
          <w:lang w:val="pl"/>
        </w:rPr>
        <w:t>podczas targów telekomunikacyjnych Mobile World Congress w Barcelonie spółka Cellnex prezentuje model Augmented TowerCo</w:t>
      </w:r>
      <w:r>
        <w:rPr>
          <w:rFonts w:cs="Verdana-Bold"/>
          <w:color w:val="425563"/>
          <w:lang w:val="pl"/>
        </w:rPr>
        <w:t>, dzięki któremu staje się całościowym operatorem infrastruktury łączności.</w:t>
      </w:r>
    </w:p>
    <w:p w14:paraId="4BC63422" w14:textId="77777777" w:rsidR="00100152" w:rsidRPr="00DE766F" w:rsidRDefault="00100152" w:rsidP="00100152">
      <w:pPr>
        <w:suppressAutoHyphens/>
        <w:spacing w:after="0" w:line="240" w:lineRule="auto"/>
        <w:jc w:val="left"/>
        <w:rPr>
          <w:color w:val="425563"/>
          <w:spacing w:val="0"/>
          <w:sz w:val="22"/>
          <w:szCs w:val="22"/>
          <w:lang w:val="pl-PL"/>
        </w:rPr>
      </w:pPr>
    </w:p>
    <w:p w14:paraId="0DCADC7D"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r>
        <w:rPr>
          <w:rFonts w:cs="Verdana-Bold"/>
          <w:b/>
          <w:bCs/>
          <w:color w:val="425563"/>
          <w:sz w:val="22"/>
          <w:szCs w:val="22"/>
          <w:u w:val="single"/>
          <w:lang w:val="pl"/>
        </w:rPr>
        <w:t>Marzec</w:t>
      </w:r>
    </w:p>
    <w:p w14:paraId="3A795C9C" w14:textId="77777777" w:rsidR="00100152" w:rsidRPr="00100152" w:rsidRDefault="00100152" w:rsidP="00100152">
      <w:pPr>
        <w:suppressAutoHyphens/>
        <w:spacing w:after="0" w:line="240" w:lineRule="auto"/>
        <w:jc w:val="left"/>
        <w:rPr>
          <w:rFonts w:asciiTheme="minorHAnsi" w:hAnsiTheme="minorHAnsi" w:cs="Verdana-Bold"/>
          <w:b/>
          <w:bCs/>
          <w:color w:val="425563"/>
          <w:spacing w:val="0"/>
          <w:sz w:val="22"/>
          <w:szCs w:val="22"/>
          <w:u w:val="single"/>
        </w:rPr>
      </w:pPr>
    </w:p>
    <w:p w14:paraId="5CE2A529" w14:textId="77777777" w:rsidR="00100152" w:rsidRPr="00DE766F" w:rsidRDefault="00100152" w:rsidP="00100152">
      <w:pPr>
        <w:pStyle w:val="Akapitzlist"/>
        <w:numPr>
          <w:ilvl w:val="0"/>
          <w:numId w:val="5"/>
        </w:numPr>
        <w:suppressAutoHyphens/>
        <w:spacing w:after="60" w:line="240" w:lineRule="auto"/>
        <w:ind w:left="714" w:hanging="357"/>
        <w:contextualSpacing w:val="0"/>
        <w:jc w:val="left"/>
        <w:rPr>
          <w:rFonts w:cs="Verdana-Bold"/>
          <w:bCs/>
          <w:color w:val="425563"/>
          <w:spacing w:val="0"/>
          <w:lang w:val="pl-PL"/>
        </w:rPr>
      </w:pPr>
      <w:r>
        <w:rPr>
          <w:rFonts w:cs="Verdana-Bold"/>
          <w:b/>
          <w:bCs/>
          <w:color w:val="425563"/>
          <w:lang w:val="pl"/>
        </w:rPr>
        <w:t xml:space="preserve">3 marca </w:t>
      </w:r>
      <w:r>
        <w:rPr>
          <w:rFonts w:cs="Verdana-Bold"/>
          <w:lang w:val="pl"/>
        </w:rPr>
        <w:t>CMA wyraża zgodę na przejęcie przez Cellnex stacji bazowych należących do spółki CK Hutchison w Wielkiej Brytanii</w:t>
      </w:r>
      <w:r>
        <w:rPr>
          <w:rFonts w:cs="Verdana-Bold"/>
          <w:color w:val="425563"/>
          <w:lang w:val="pl"/>
        </w:rPr>
        <w:t>.</w:t>
      </w:r>
    </w:p>
    <w:p w14:paraId="7DE70396" w14:textId="77777777" w:rsidR="00100152" w:rsidRPr="00DE766F" w:rsidRDefault="00100152" w:rsidP="00100152">
      <w:pPr>
        <w:pStyle w:val="Akapitzlist"/>
        <w:numPr>
          <w:ilvl w:val="0"/>
          <w:numId w:val="5"/>
        </w:numPr>
        <w:suppressAutoHyphens/>
        <w:spacing w:after="60" w:line="240" w:lineRule="auto"/>
        <w:ind w:left="714" w:hanging="357"/>
        <w:contextualSpacing w:val="0"/>
        <w:jc w:val="left"/>
        <w:rPr>
          <w:rFonts w:cs="Verdana-Bold"/>
          <w:bCs/>
          <w:color w:val="425563"/>
          <w:spacing w:val="0"/>
          <w:lang w:val="pl-PL"/>
        </w:rPr>
      </w:pPr>
      <w:r>
        <w:rPr>
          <w:rFonts w:cs="Verdana-Bold"/>
          <w:b/>
          <w:bCs/>
          <w:color w:val="425563"/>
          <w:lang w:val="pl"/>
        </w:rPr>
        <w:t xml:space="preserve">9 marca </w:t>
      </w:r>
      <w:r>
        <w:rPr>
          <w:rFonts w:cs="Verdana-Bold"/>
          <w:lang w:val="pl"/>
        </w:rPr>
        <w:t>spółki Cellnex i </w:t>
      </w:r>
      <w:proofErr w:type="spellStart"/>
      <w:r>
        <w:rPr>
          <w:rFonts w:cs="Verdana-Bold"/>
          <w:lang w:val="pl"/>
        </w:rPr>
        <w:t>Segula</w:t>
      </w:r>
      <w:proofErr w:type="spellEnd"/>
      <w:r>
        <w:rPr>
          <w:rFonts w:cs="Verdana-Bold"/>
          <w:lang w:val="pl"/>
        </w:rPr>
        <w:t xml:space="preserve"> Technologies łączą siły w celu udostępnienia możliwości przesyłowych sieci prywatnych 5G branży motoryzacyjnej</w:t>
      </w:r>
      <w:r>
        <w:rPr>
          <w:rFonts w:cs="Verdana-Bold"/>
          <w:color w:val="425563"/>
          <w:lang w:val="pl"/>
        </w:rPr>
        <w:t>. Spółka Cellnex ma uruchomić sieć prywatną 5G w centrum badawczym spółki Segula w </w:t>
      </w:r>
      <w:proofErr w:type="spellStart"/>
      <w:r>
        <w:rPr>
          <w:rFonts w:cs="Verdana-Bold"/>
          <w:color w:val="425563"/>
          <w:lang w:val="pl"/>
        </w:rPr>
        <w:t>Rodgau-Dudenhofen</w:t>
      </w:r>
      <w:proofErr w:type="spellEnd"/>
      <w:r>
        <w:rPr>
          <w:rFonts w:cs="Verdana-Bold"/>
          <w:color w:val="425563"/>
          <w:lang w:val="pl"/>
        </w:rPr>
        <w:t xml:space="preserve"> w Niemczech.</w:t>
      </w:r>
    </w:p>
    <w:p w14:paraId="22818EB3" w14:textId="77777777" w:rsidR="00100152" w:rsidRPr="00DE766F" w:rsidRDefault="00100152" w:rsidP="00100152">
      <w:pPr>
        <w:pStyle w:val="Akapitzlist"/>
        <w:numPr>
          <w:ilvl w:val="0"/>
          <w:numId w:val="5"/>
        </w:numPr>
        <w:suppressAutoHyphens/>
        <w:spacing w:after="60" w:line="240" w:lineRule="auto"/>
        <w:ind w:left="714" w:hanging="357"/>
        <w:contextualSpacing w:val="0"/>
        <w:jc w:val="left"/>
        <w:rPr>
          <w:rFonts w:cs="Verdana-Bold"/>
          <w:bCs/>
          <w:color w:val="425563"/>
          <w:spacing w:val="0"/>
          <w:lang w:val="pl-PL"/>
        </w:rPr>
      </w:pPr>
      <w:r>
        <w:rPr>
          <w:rFonts w:cs="Verdana-Bold"/>
          <w:b/>
          <w:bCs/>
          <w:color w:val="425563"/>
          <w:lang w:val="pl"/>
        </w:rPr>
        <w:t xml:space="preserve">21 marca </w:t>
      </w:r>
      <w:r>
        <w:rPr>
          <w:rFonts w:cs="Verdana-Bold"/>
          <w:lang w:val="pl"/>
        </w:rPr>
        <w:t>spółka Cellnex sprzedaje 3200 stacji bazowych we Francji</w:t>
      </w:r>
      <w:r>
        <w:rPr>
          <w:rFonts w:cs="Verdana-Bold"/>
          <w:color w:val="425563"/>
          <w:lang w:val="pl"/>
        </w:rPr>
        <w:t xml:space="preserve">, aby sprostać warunkom realizacji postawionym przez francuski organ nadzorujący konkurencję (French Competition Authority, FCA) po przejęciu spółki </w:t>
      </w:r>
      <w:proofErr w:type="spellStart"/>
      <w:r>
        <w:rPr>
          <w:rFonts w:cs="Verdana-Bold"/>
          <w:color w:val="425563"/>
          <w:lang w:val="pl"/>
        </w:rPr>
        <w:t>Hivory</w:t>
      </w:r>
      <w:proofErr w:type="spellEnd"/>
      <w:r>
        <w:rPr>
          <w:rFonts w:cs="Verdana-Bold"/>
          <w:color w:val="425563"/>
          <w:lang w:val="pl"/>
        </w:rPr>
        <w:t>.</w:t>
      </w:r>
    </w:p>
    <w:p w14:paraId="5F4C3095" w14:textId="77777777" w:rsidR="00100152" w:rsidRPr="00DE766F" w:rsidRDefault="00100152" w:rsidP="00100152">
      <w:pPr>
        <w:pStyle w:val="Akapitzlist"/>
        <w:numPr>
          <w:ilvl w:val="0"/>
          <w:numId w:val="5"/>
        </w:numPr>
        <w:suppressAutoHyphens/>
        <w:spacing w:after="60" w:line="240" w:lineRule="auto"/>
        <w:ind w:left="714" w:hanging="357"/>
        <w:contextualSpacing w:val="0"/>
        <w:jc w:val="left"/>
        <w:rPr>
          <w:rFonts w:cs="Verdana-Bold"/>
          <w:bCs/>
          <w:color w:val="425563"/>
          <w:spacing w:val="0"/>
          <w:lang w:val="pl-PL"/>
        </w:rPr>
      </w:pPr>
      <w:r>
        <w:rPr>
          <w:rFonts w:cs="Verdana-Bold"/>
          <w:b/>
          <w:bCs/>
          <w:color w:val="425563"/>
          <w:lang w:val="pl"/>
        </w:rPr>
        <w:t xml:space="preserve">30 marca </w:t>
      </w:r>
      <w:r>
        <w:rPr>
          <w:rFonts w:cs="Verdana-Bold"/>
          <w:color w:val="425563"/>
          <w:lang w:val="pl"/>
        </w:rPr>
        <w:t xml:space="preserve">spółka Cellnex ustala cenę </w:t>
      </w:r>
      <w:r>
        <w:rPr>
          <w:rFonts w:cs="Verdana-Bold"/>
          <w:lang w:val="pl"/>
        </w:rPr>
        <w:t>emisji obligacji na łączną kwotę 1 mld EUR.</w:t>
      </w:r>
    </w:p>
    <w:p w14:paraId="08F0AFE1" w14:textId="77777777" w:rsidR="00100152" w:rsidRPr="00DE766F" w:rsidRDefault="00100152" w:rsidP="00100152">
      <w:pPr>
        <w:suppressAutoHyphens/>
        <w:spacing w:after="0" w:line="240" w:lineRule="auto"/>
        <w:jc w:val="left"/>
        <w:rPr>
          <w:rFonts w:asciiTheme="minorHAnsi" w:hAnsiTheme="minorHAnsi" w:cs="Verdana-Bold"/>
          <w:color w:val="425563"/>
          <w:spacing w:val="0"/>
          <w:sz w:val="22"/>
          <w:szCs w:val="22"/>
          <w:u w:val="single"/>
          <w:lang w:val="pl-PL"/>
        </w:rPr>
      </w:pPr>
    </w:p>
    <w:p w14:paraId="149805DC"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r>
        <w:rPr>
          <w:rFonts w:cs="Verdana-Bold"/>
          <w:b/>
          <w:bCs/>
          <w:color w:val="425563"/>
          <w:sz w:val="22"/>
          <w:szCs w:val="22"/>
          <w:u w:val="single"/>
          <w:lang w:val="pl"/>
        </w:rPr>
        <w:t>Kwiecień</w:t>
      </w:r>
    </w:p>
    <w:p w14:paraId="27258877" w14:textId="77777777" w:rsidR="00100152" w:rsidRPr="00100152" w:rsidRDefault="00100152" w:rsidP="00100152">
      <w:pPr>
        <w:suppressAutoHyphens/>
        <w:spacing w:after="0" w:line="240" w:lineRule="auto"/>
        <w:jc w:val="left"/>
        <w:rPr>
          <w:rFonts w:asciiTheme="minorHAnsi" w:hAnsiTheme="minorHAnsi" w:cs="Verdana-Bold"/>
          <w:b/>
          <w:bCs/>
          <w:color w:val="425563"/>
          <w:spacing w:val="0"/>
          <w:sz w:val="22"/>
          <w:szCs w:val="22"/>
          <w:u w:val="single"/>
        </w:rPr>
      </w:pPr>
    </w:p>
    <w:p w14:paraId="65F0F1E7" w14:textId="77777777" w:rsidR="00100152" w:rsidRPr="00DE766F" w:rsidRDefault="00100152" w:rsidP="00100152">
      <w:pPr>
        <w:pStyle w:val="Akapitzlist"/>
        <w:numPr>
          <w:ilvl w:val="0"/>
          <w:numId w:val="22"/>
        </w:numPr>
        <w:suppressAutoHyphens/>
        <w:spacing w:after="0" w:line="240" w:lineRule="auto"/>
        <w:jc w:val="left"/>
        <w:rPr>
          <w:rFonts w:cs="Verdana-Bold"/>
          <w:bCs/>
          <w:color w:val="425563"/>
          <w:spacing w:val="0"/>
          <w:lang w:val="pl-PL"/>
        </w:rPr>
      </w:pPr>
      <w:r>
        <w:rPr>
          <w:rFonts w:cs="Verdana-Bold"/>
          <w:b/>
          <w:bCs/>
          <w:color w:val="425563"/>
          <w:lang w:val="pl"/>
        </w:rPr>
        <w:t xml:space="preserve">29 kwietnia </w:t>
      </w:r>
      <w:r>
        <w:rPr>
          <w:rFonts w:cs="Verdana-Bold"/>
          <w:lang w:val="pl"/>
        </w:rPr>
        <w:t>spółka Cellnex odbywa Walne zgromadzenie akcjonariuszy w związku z rokiem obrotowym 2021</w:t>
      </w:r>
      <w:r>
        <w:rPr>
          <w:rFonts w:cs="Verdana-Bold"/>
          <w:color w:val="425563"/>
          <w:lang w:val="pl"/>
        </w:rPr>
        <w:t>.</w:t>
      </w:r>
    </w:p>
    <w:p w14:paraId="677D1F5B" w14:textId="77777777" w:rsidR="00100152" w:rsidRPr="00DE766F" w:rsidRDefault="00100152" w:rsidP="00100152">
      <w:pPr>
        <w:suppressAutoHyphens/>
        <w:spacing w:after="0" w:line="240" w:lineRule="auto"/>
        <w:jc w:val="left"/>
        <w:rPr>
          <w:rFonts w:asciiTheme="minorHAnsi" w:hAnsiTheme="minorHAnsi" w:cs="Verdana-Bold"/>
          <w:b/>
          <w:bCs/>
          <w:color w:val="425563"/>
          <w:spacing w:val="0"/>
          <w:sz w:val="22"/>
          <w:szCs w:val="22"/>
          <w:u w:val="single"/>
          <w:lang w:val="pl-PL"/>
        </w:rPr>
      </w:pPr>
    </w:p>
    <w:p w14:paraId="4628CA3D"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r>
        <w:rPr>
          <w:rFonts w:cs="Verdana-Bold"/>
          <w:b/>
          <w:bCs/>
          <w:color w:val="425563"/>
          <w:sz w:val="22"/>
          <w:szCs w:val="22"/>
          <w:u w:val="single"/>
          <w:lang w:val="pl"/>
        </w:rPr>
        <w:t>Maj</w:t>
      </w:r>
    </w:p>
    <w:p w14:paraId="25E35A62" w14:textId="77777777" w:rsidR="00100152" w:rsidRPr="00100152" w:rsidRDefault="00100152" w:rsidP="00100152">
      <w:pPr>
        <w:suppressAutoHyphens/>
        <w:spacing w:after="0" w:line="240" w:lineRule="auto"/>
        <w:jc w:val="left"/>
        <w:rPr>
          <w:rFonts w:asciiTheme="minorHAnsi" w:hAnsiTheme="minorHAnsi" w:cs="Verdana-Bold"/>
          <w:b/>
          <w:bCs/>
          <w:color w:val="425563"/>
          <w:spacing w:val="0"/>
          <w:sz w:val="22"/>
          <w:szCs w:val="22"/>
          <w:u w:val="single"/>
        </w:rPr>
      </w:pPr>
    </w:p>
    <w:p w14:paraId="1E0F1B60" w14:textId="77777777" w:rsidR="00100152" w:rsidRPr="00100152" w:rsidRDefault="00100152" w:rsidP="00100152">
      <w:pPr>
        <w:pStyle w:val="Akapitzlist"/>
        <w:numPr>
          <w:ilvl w:val="0"/>
          <w:numId w:val="21"/>
        </w:numPr>
        <w:suppressAutoHyphens/>
        <w:spacing w:after="60" w:line="240" w:lineRule="auto"/>
        <w:ind w:left="714" w:hanging="357"/>
        <w:contextualSpacing w:val="0"/>
        <w:jc w:val="left"/>
        <w:rPr>
          <w:rFonts w:cs="Verdana-Bold"/>
          <w:b/>
          <w:bCs/>
          <w:color w:val="425563"/>
          <w:spacing w:val="0"/>
        </w:rPr>
      </w:pPr>
      <w:r>
        <w:rPr>
          <w:rFonts w:cs="Verdana-Bold"/>
          <w:b/>
          <w:bCs/>
          <w:color w:val="425563"/>
          <w:lang w:val="pl"/>
        </w:rPr>
        <w:t xml:space="preserve">5 maja </w:t>
      </w:r>
      <w:r>
        <w:rPr>
          <w:rFonts w:cs="Verdana-Bold"/>
          <w:color w:val="425563"/>
          <w:lang w:val="pl"/>
        </w:rPr>
        <w:t xml:space="preserve">spółka Cellnex zostaje uznana za jedną z pięciu wiodących spółek telekomunikacyjnych na świecie pod względem zrównoważonego rozwoju. </w:t>
      </w:r>
      <w:r>
        <w:rPr>
          <w:rFonts w:cs="Verdana-Bold"/>
          <w:lang w:val="pl"/>
        </w:rPr>
        <w:t>Spółka uzyskuje 14 punktów w ocenie Sustainalytics ESG Risk Rating.</w:t>
      </w:r>
    </w:p>
    <w:p w14:paraId="4499E713" w14:textId="77777777" w:rsidR="00100152" w:rsidRPr="00DE766F" w:rsidRDefault="00100152" w:rsidP="00100152">
      <w:pPr>
        <w:pStyle w:val="Akapitzlist"/>
        <w:numPr>
          <w:ilvl w:val="0"/>
          <w:numId w:val="21"/>
        </w:numPr>
        <w:suppressAutoHyphens/>
        <w:spacing w:after="0" w:line="240" w:lineRule="auto"/>
        <w:ind w:left="714" w:hanging="357"/>
        <w:contextualSpacing w:val="0"/>
        <w:jc w:val="left"/>
        <w:rPr>
          <w:rFonts w:cs="Verdana-Bold"/>
          <w:b/>
          <w:bCs/>
          <w:color w:val="425563"/>
          <w:spacing w:val="0"/>
          <w:lang w:val="pl-PL"/>
        </w:rPr>
      </w:pPr>
      <w:r>
        <w:rPr>
          <w:rFonts w:cs="Verdana-Bold"/>
          <w:b/>
          <w:bCs/>
          <w:color w:val="425563"/>
          <w:lang w:val="pl"/>
        </w:rPr>
        <w:t xml:space="preserve">13 maja </w:t>
      </w:r>
      <w:r>
        <w:rPr>
          <w:rFonts w:cs="Verdana-Bold"/>
          <w:lang w:val="pl"/>
        </w:rPr>
        <w:t>CMA wyraża zgodę na przejęcie stacji bazowych należących do spółki CK Hutchison w Wielkiej Brytanii i publikuje listę ostatecznych zobowiązań.</w:t>
      </w:r>
    </w:p>
    <w:p w14:paraId="5F429C64" w14:textId="77777777" w:rsidR="00100152" w:rsidRPr="00DE766F" w:rsidRDefault="00100152" w:rsidP="00100152">
      <w:pPr>
        <w:suppressAutoHyphens/>
        <w:spacing w:after="0" w:line="240" w:lineRule="auto"/>
        <w:jc w:val="left"/>
        <w:rPr>
          <w:rFonts w:asciiTheme="minorHAnsi" w:hAnsiTheme="minorHAnsi" w:cs="Verdana-Bold"/>
          <w:b/>
          <w:bCs/>
          <w:color w:val="425563"/>
          <w:spacing w:val="0"/>
          <w:sz w:val="22"/>
          <w:szCs w:val="22"/>
          <w:u w:val="single"/>
          <w:lang w:val="pl-PL"/>
        </w:rPr>
      </w:pPr>
    </w:p>
    <w:p w14:paraId="19769607"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bookmarkStart w:id="3" w:name="_Hlk109140832"/>
      <w:r>
        <w:rPr>
          <w:rFonts w:cs="Verdana-Bold"/>
          <w:b/>
          <w:bCs/>
          <w:color w:val="425563"/>
          <w:sz w:val="22"/>
          <w:szCs w:val="22"/>
          <w:u w:val="single"/>
          <w:lang w:val="pl"/>
        </w:rPr>
        <w:t>Czerwiec</w:t>
      </w:r>
    </w:p>
    <w:bookmarkEnd w:id="3"/>
    <w:p w14:paraId="75663B05" w14:textId="77777777" w:rsidR="00100152" w:rsidRPr="00100152" w:rsidRDefault="00100152" w:rsidP="00100152">
      <w:pPr>
        <w:suppressAutoHyphens/>
        <w:spacing w:after="0" w:line="240" w:lineRule="auto"/>
        <w:jc w:val="left"/>
        <w:rPr>
          <w:b/>
          <w:color w:val="425563"/>
          <w:spacing w:val="0"/>
          <w:sz w:val="28"/>
          <w:szCs w:val="28"/>
          <w:u w:val="single"/>
        </w:rPr>
      </w:pPr>
    </w:p>
    <w:p w14:paraId="6DF31CA9" w14:textId="77777777" w:rsidR="00100152" w:rsidRPr="00DE766F" w:rsidRDefault="00100152" w:rsidP="00100152">
      <w:pPr>
        <w:pStyle w:val="Akapitzlist"/>
        <w:numPr>
          <w:ilvl w:val="0"/>
          <w:numId w:val="19"/>
        </w:numPr>
        <w:suppressAutoHyphens/>
        <w:spacing w:after="60" w:line="240" w:lineRule="auto"/>
        <w:ind w:left="714" w:hanging="357"/>
        <w:contextualSpacing w:val="0"/>
        <w:jc w:val="left"/>
        <w:rPr>
          <w:rFonts w:cs="Verdana-Bold"/>
          <w:bCs/>
          <w:color w:val="425563"/>
          <w:spacing w:val="0"/>
          <w:lang w:val="pl-PL"/>
        </w:rPr>
      </w:pPr>
      <w:r>
        <w:rPr>
          <w:rFonts w:cs="Verdana-Bold"/>
          <w:b/>
          <w:bCs/>
          <w:color w:val="425563"/>
          <w:lang w:val="pl"/>
        </w:rPr>
        <w:t xml:space="preserve">8 czerwca </w:t>
      </w:r>
      <w:r>
        <w:rPr>
          <w:rFonts w:cs="Verdana-Bold"/>
          <w:lang w:val="pl"/>
        </w:rPr>
        <w:t>spółki Cellnex i Nokia zacieśniają współpracę w celu uruchomienia sieci prywatnych dla spółek</w:t>
      </w:r>
      <w:r>
        <w:rPr>
          <w:rFonts w:cs="Verdana-Bold"/>
          <w:color w:val="425563"/>
          <w:lang w:val="pl"/>
        </w:rPr>
        <w:t>.</w:t>
      </w:r>
    </w:p>
    <w:p w14:paraId="229F6453" w14:textId="77777777" w:rsidR="00100152" w:rsidRPr="00DE766F" w:rsidRDefault="00100152" w:rsidP="00100152">
      <w:pPr>
        <w:pStyle w:val="Akapitzlist"/>
        <w:numPr>
          <w:ilvl w:val="0"/>
          <w:numId w:val="19"/>
        </w:numPr>
        <w:suppressAutoHyphens/>
        <w:spacing w:after="60" w:line="240" w:lineRule="auto"/>
        <w:ind w:left="714" w:hanging="357"/>
        <w:contextualSpacing w:val="0"/>
        <w:jc w:val="left"/>
        <w:rPr>
          <w:rFonts w:cs="Verdana-Bold"/>
          <w:bCs/>
          <w:color w:val="425563"/>
          <w:spacing w:val="0"/>
          <w:lang w:val="pl-PL"/>
        </w:rPr>
      </w:pPr>
      <w:r>
        <w:rPr>
          <w:rFonts w:cs="Verdana-Bold"/>
          <w:b/>
          <w:bCs/>
          <w:color w:val="425563"/>
          <w:lang w:val="pl"/>
        </w:rPr>
        <w:lastRenderedPageBreak/>
        <w:t xml:space="preserve">9 czerwca </w:t>
      </w:r>
      <w:r>
        <w:rPr>
          <w:rFonts w:cs="Verdana-Bold"/>
          <w:lang w:val="pl"/>
        </w:rPr>
        <w:t xml:space="preserve">Zarząd mianuje </w:t>
      </w:r>
      <w:proofErr w:type="spellStart"/>
      <w:r>
        <w:rPr>
          <w:rFonts w:cs="Verdana-Bold"/>
          <w:lang w:val="pl"/>
        </w:rPr>
        <w:t>Anę</w:t>
      </w:r>
      <w:proofErr w:type="spellEnd"/>
      <w:r>
        <w:rPr>
          <w:rFonts w:cs="Verdana-Bold"/>
          <w:lang w:val="pl"/>
        </w:rPr>
        <w:t xml:space="preserve"> Garcíę Fau niezależnym członkiem Zarządu</w:t>
      </w:r>
      <w:r>
        <w:rPr>
          <w:rFonts w:cs="Verdana-Bold"/>
          <w:color w:val="425563"/>
          <w:lang w:val="pl"/>
        </w:rPr>
        <w:t>. To szósta kobieta wśród 11 członków Zarządu, co oznacza, że w najwyższym organie kierowniczym spółki przekroczono próg 50% w obszarze zróżnicowania płci.</w:t>
      </w:r>
    </w:p>
    <w:p w14:paraId="57D89167" w14:textId="77777777" w:rsidR="00100152" w:rsidRPr="00DE766F" w:rsidRDefault="00100152" w:rsidP="00100152">
      <w:pPr>
        <w:pStyle w:val="Akapitzlist"/>
        <w:numPr>
          <w:ilvl w:val="0"/>
          <w:numId w:val="19"/>
        </w:numPr>
        <w:suppressAutoHyphens/>
        <w:spacing w:after="60" w:line="240" w:lineRule="auto"/>
        <w:ind w:left="714" w:hanging="357"/>
        <w:contextualSpacing w:val="0"/>
        <w:jc w:val="left"/>
        <w:rPr>
          <w:rFonts w:cs="Verdana-Bold"/>
          <w:bCs/>
          <w:color w:val="425563"/>
          <w:spacing w:val="0"/>
          <w:lang w:val="pl-PL"/>
        </w:rPr>
      </w:pPr>
      <w:r>
        <w:rPr>
          <w:rFonts w:cs="Verdana-Bold"/>
          <w:b/>
          <w:bCs/>
          <w:color w:val="425563"/>
          <w:lang w:val="pl"/>
        </w:rPr>
        <w:t xml:space="preserve">15 czerwca </w:t>
      </w:r>
      <w:r>
        <w:rPr>
          <w:rFonts w:cs="Verdana-Bold"/>
          <w:lang w:val="pl"/>
        </w:rPr>
        <w:t xml:space="preserve">hiszpański Narodowy Uniwersytet Kształcenia na Odległość (Universidad Nacional de Educación a Distancia, UNED) zleca spółce Cellnex realizację projektu w zakresie wydajności energetycznej w oparciu o technologię </w:t>
      </w:r>
      <w:proofErr w:type="spellStart"/>
      <w:r>
        <w:rPr>
          <w:rFonts w:cs="Verdana-Bold"/>
          <w:lang w:val="pl"/>
        </w:rPr>
        <w:t>IoT</w:t>
      </w:r>
      <w:proofErr w:type="spellEnd"/>
      <w:r>
        <w:rPr>
          <w:rFonts w:cs="Verdana-Bold"/>
          <w:lang w:val="pl"/>
        </w:rPr>
        <w:t xml:space="preserve"> i sztuczną inteligencję</w:t>
      </w:r>
      <w:r>
        <w:rPr>
          <w:rFonts w:cs="Verdana-Bold"/>
          <w:color w:val="425563"/>
          <w:lang w:val="pl"/>
        </w:rPr>
        <w:t>.</w:t>
      </w:r>
    </w:p>
    <w:p w14:paraId="2A4F00AC" w14:textId="77777777" w:rsidR="00100152" w:rsidRPr="00DE766F" w:rsidRDefault="00100152" w:rsidP="00100152">
      <w:pPr>
        <w:pStyle w:val="Akapitzlist"/>
        <w:numPr>
          <w:ilvl w:val="0"/>
          <w:numId w:val="19"/>
        </w:numPr>
        <w:suppressAutoHyphens/>
        <w:spacing w:after="60" w:line="240" w:lineRule="auto"/>
        <w:ind w:left="714" w:hanging="357"/>
        <w:contextualSpacing w:val="0"/>
        <w:jc w:val="left"/>
        <w:rPr>
          <w:rFonts w:cs="Verdana-Bold"/>
          <w:bCs/>
          <w:color w:val="425563"/>
          <w:spacing w:val="0"/>
          <w:lang w:val="pl-PL"/>
        </w:rPr>
      </w:pPr>
      <w:bookmarkStart w:id="4" w:name="_Hlk127433600"/>
      <w:r>
        <w:rPr>
          <w:rFonts w:cs="Verdana-Bold"/>
          <w:b/>
          <w:bCs/>
          <w:color w:val="425563"/>
          <w:lang w:val="pl"/>
        </w:rPr>
        <w:t xml:space="preserve">17 czerwca </w:t>
      </w:r>
      <w:r>
        <w:rPr>
          <w:rFonts w:cs="Verdana-Bold"/>
          <w:lang w:val="pl"/>
        </w:rPr>
        <w:t>spółka wypłaca dywidendę w wysokości 0,01761 EUR na akcję, obciążając rezerwy.</w:t>
      </w:r>
    </w:p>
    <w:bookmarkEnd w:id="4"/>
    <w:p w14:paraId="33D9A1AC" w14:textId="77777777" w:rsidR="00100152" w:rsidRPr="00DE766F" w:rsidRDefault="00100152" w:rsidP="00100152">
      <w:pPr>
        <w:suppressAutoHyphens/>
        <w:spacing w:after="0" w:line="240" w:lineRule="auto"/>
        <w:jc w:val="left"/>
        <w:rPr>
          <w:rFonts w:asciiTheme="minorHAnsi" w:hAnsiTheme="minorHAnsi" w:cs="Verdana-Bold"/>
          <w:color w:val="425563"/>
          <w:spacing w:val="0"/>
          <w:lang w:val="pl-PL"/>
        </w:rPr>
      </w:pPr>
    </w:p>
    <w:p w14:paraId="3F1C1F7F"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r>
        <w:rPr>
          <w:rFonts w:cs="Verdana-Bold"/>
          <w:b/>
          <w:bCs/>
          <w:color w:val="425563"/>
          <w:sz w:val="22"/>
          <w:szCs w:val="22"/>
          <w:u w:val="single"/>
          <w:lang w:val="pl"/>
        </w:rPr>
        <w:t>Lipiec</w:t>
      </w:r>
    </w:p>
    <w:p w14:paraId="34F12713" w14:textId="77777777" w:rsidR="00100152" w:rsidRPr="00100152" w:rsidRDefault="00100152" w:rsidP="00100152">
      <w:pPr>
        <w:suppressAutoHyphens/>
        <w:spacing w:after="0" w:line="240" w:lineRule="auto"/>
        <w:jc w:val="left"/>
        <w:rPr>
          <w:rFonts w:asciiTheme="minorHAnsi" w:hAnsiTheme="minorHAnsi" w:cs="Verdana-Bold"/>
          <w:b/>
          <w:bCs/>
          <w:color w:val="425563"/>
          <w:spacing w:val="0"/>
          <w:sz w:val="22"/>
          <w:szCs w:val="22"/>
          <w:u w:val="single"/>
        </w:rPr>
      </w:pPr>
    </w:p>
    <w:p w14:paraId="2274D8E0" w14:textId="77777777" w:rsidR="00100152" w:rsidRPr="00DE766F" w:rsidRDefault="00100152" w:rsidP="00100152">
      <w:pPr>
        <w:pStyle w:val="Akapitzlist"/>
        <w:numPr>
          <w:ilvl w:val="0"/>
          <w:numId w:val="20"/>
        </w:numPr>
        <w:suppressAutoHyphens/>
        <w:spacing w:after="0" w:line="240" w:lineRule="auto"/>
        <w:jc w:val="left"/>
        <w:rPr>
          <w:rFonts w:cs="Verdana-Bold"/>
          <w:bCs/>
          <w:color w:val="425563"/>
          <w:spacing w:val="0"/>
          <w:lang w:val="pl-PL"/>
        </w:rPr>
      </w:pPr>
      <w:r>
        <w:rPr>
          <w:rFonts w:cs="Verdana-Bold"/>
          <w:b/>
          <w:bCs/>
          <w:color w:val="425563"/>
          <w:lang w:val="pl"/>
        </w:rPr>
        <w:t xml:space="preserve">1 lipca </w:t>
      </w:r>
      <w:r>
        <w:rPr>
          <w:rFonts w:cs="Verdana-Bold"/>
          <w:lang w:val="pl"/>
        </w:rPr>
        <w:t>spółka publikuje drugi Raport na temat środowiska i zmiany klimatu</w:t>
      </w:r>
      <w:r>
        <w:rPr>
          <w:rFonts w:cs="Verdana-Bold"/>
          <w:color w:val="425563"/>
          <w:lang w:val="pl"/>
        </w:rPr>
        <w:t xml:space="preserve"> za rok obrotowy 2021, w którym wykazuje, że przekroczyła wyznaczone cele w zakresie zielonej energii i emisji.</w:t>
      </w:r>
    </w:p>
    <w:p w14:paraId="77B0BC19" w14:textId="77777777" w:rsidR="00100152" w:rsidRPr="00DE766F" w:rsidRDefault="00100152" w:rsidP="00100152">
      <w:pPr>
        <w:suppressAutoHyphens/>
        <w:spacing w:after="0" w:line="240" w:lineRule="auto"/>
        <w:jc w:val="left"/>
        <w:rPr>
          <w:rFonts w:asciiTheme="minorHAnsi" w:hAnsiTheme="minorHAnsi" w:cs="Verdana-Bold"/>
          <w:color w:val="425563"/>
          <w:spacing w:val="0"/>
          <w:lang w:val="pl-PL"/>
        </w:rPr>
      </w:pPr>
    </w:p>
    <w:p w14:paraId="522D0A29" w14:textId="77777777" w:rsidR="00100152" w:rsidRPr="00DE766F" w:rsidRDefault="00100152" w:rsidP="00100152">
      <w:pPr>
        <w:suppressAutoHyphens/>
        <w:spacing w:after="0" w:line="240" w:lineRule="auto"/>
        <w:jc w:val="left"/>
        <w:rPr>
          <w:rFonts w:asciiTheme="minorHAnsi" w:hAnsiTheme="minorHAnsi" w:cs="Verdana-Bold"/>
          <w:b/>
          <w:bCs/>
          <w:color w:val="425563"/>
          <w:spacing w:val="0"/>
          <w:lang w:val="pl-PL"/>
        </w:rPr>
      </w:pPr>
    </w:p>
    <w:p w14:paraId="24EBA322"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r>
        <w:rPr>
          <w:rFonts w:cs="Verdana-Bold"/>
          <w:b/>
          <w:bCs/>
          <w:color w:val="425563"/>
          <w:sz w:val="22"/>
          <w:szCs w:val="22"/>
          <w:u w:val="single"/>
          <w:lang w:val="pl"/>
        </w:rPr>
        <w:t>Wrzesień</w:t>
      </w:r>
    </w:p>
    <w:p w14:paraId="7EDE19D4" w14:textId="77777777" w:rsidR="00100152" w:rsidRPr="00100152" w:rsidRDefault="00100152" w:rsidP="00100152">
      <w:pPr>
        <w:suppressAutoHyphens/>
        <w:spacing w:after="0" w:line="240" w:lineRule="auto"/>
        <w:jc w:val="left"/>
        <w:rPr>
          <w:b/>
          <w:color w:val="425563"/>
          <w:spacing w:val="0"/>
          <w:sz w:val="28"/>
          <w:szCs w:val="28"/>
          <w:u w:val="single"/>
        </w:rPr>
      </w:pPr>
    </w:p>
    <w:p w14:paraId="2991C8FC" w14:textId="77777777" w:rsidR="00100152" w:rsidRPr="00DE766F" w:rsidRDefault="00100152" w:rsidP="00100152">
      <w:pPr>
        <w:pStyle w:val="Akapitzlist"/>
        <w:numPr>
          <w:ilvl w:val="0"/>
          <w:numId w:val="20"/>
        </w:numPr>
        <w:suppressAutoHyphens/>
        <w:spacing w:after="60" w:line="240" w:lineRule="auto"/>
        <w:jc w:val="left"/>
        <w:rPr>
          <w:rFonts w:cs="Verdana-Bold"/>
          <w:bCs/>
          <w:color w:val="425563"/>
          <w:spacing w:val="0"/>
          <w:lang w:val="pl-PL"/>
        </w:rPr>
      </w:pPr>
      <w:r>
        <w:rPr>
          <w:rFonts w:cs="Verdana-Bold"/>
          <w:b/>
          <w:bCs/>
          <w:color w:val="425563"/>
          <w:lang w:val="pl"/>
        </w:rPr>
        <w:t>22 września</w:t>
      </w:r>
      <w:r>
        <w:rPr>
          <w:rFonts w:cs="Verdana-Bold"/>
          <w:color w:val="425563"/>
          <w:lang w:val="pl"/>
        </w:rPr>
        <w:t xml:space="preserve"> Digi i Cellnex Portugalia zawierają długoterminowe porozumienie strategiczne, w myśl którego operator sieci komórkowej wdroży 2000 punktów obecności (Points of Presence, PoP) w stacjach bazowych Cellnex w całym kraju.</w:t>
      </w:r>
    </w:p>
    <w:p w14:paraId="58D845D6" w14:textId="77777777" w:rsidR="00100152" w:rsidRPr="00DE766F" w:rsidRDefault="00100152" w:rsidP="00100152">
      <w:pPr>
        <w:pStyle w:val="Akapitzlist"/>
        <w:numPr>
          <w:ilvl w:val="0"/>
          <w:numId w:val="20"/>
        </w:numPr>
        <w:suppressAutoHyphens/>
        <w:spacing w:after="60" w:line="240" w:lineRule="auto"/>
        <w:jc w:val="left"/>
        <w:rPr>
          <w:rFonts w:cs="Verdana-Bold"/>
          <w:bCs/>
          <w:color w:val="425563"/>
          <w:spacing w:val="0"/>
          <w:lang w:val="pl-PL"/>
        </w:rPr>
      </w:pPr>
      <w:r>
        <w:rPr>
          <w:rFonts w:cs="Verdana-Bold"/>
          <w:b/>
          <w:bCs/>
          <w:color w:val="425563"/>
          <w:lang w:val="pl"/>
        </w:rPr>
        <w:t>27 września</w:t>
      </w:r>
      <w:r>
        <w:rPr>
          <w:rFonts w:cs="Verdana-Bold"/>
          <w:color w:val="425563"/>
          <w:lang w:val="pl"/>
        </w:rPr>
        <w:t xml:space="preserve"> Cellnex zapewnia zasięg sieci komórkowej w kompleksie mieszkaniowym Valley w Amsterdamie.</w:t>
      </w:r>
    </w:p>
    <w:p w14:paraId="7BFBF7DB" w14:textId="77777777" w:rsidR="00100152" w:rsidRPr="00DE766F" w:rsidRDefault="00100152" w:rsidP="00100152">
      <w:pPr>
        <w:suppressAutoHyphens/>
        <w:spacing w:after="60" w:line="240" w:lineRule="auto"/>
        <w:jc w:val="left"/>
        <w:rPr>
          <w:b/>
          <w:color w:val="425563"/>
          <w:spacing w:val="0"/>
          <w:sz w:val="28"/>
          <w:szCs w:val="28"/>
          <w:u w:val="single"/>
          <w:lang w:val="pl-PL"/>
        </w:rPr>
      </w:pPr>
    </w:p>
    <w:p w14:paraId="0C6099F4"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bookmarkStart w:id="5" w:name="_Hlk118964158"/>
      <w:r>
        <w:rPr>
          <w:rFonts w:cs="Verdana-Bold"/>
          <w:b/>
          <w:bCs/>
          <w:color w:val="425563"/>
          <w:sz w:val="22"/>
          <w:szCs w:val="22"/>
          <w:u w:val="single"/>
          <w:lang w:val="pl"/>
        </w:rPr>
        <w:t>Październik</w:t>
      </w:r>
    </w:p>
    <w:bookmarkEnd w:id="5"/>
    <w:p w14:paraId="70FECFD3" w14:textId="77777777" w:rsidR="00100152" w:rsidRPr="00100152" w:rsidRDefault="00100152" w:rsidP="00100152">
      <w:pPr>
        <w:suppressAutoHyphens/>
        <w:spacing w:after="0" w:line="240" w:lineRule="auto"/>
        <w:jc w:val="left"/>
        <w:rPr>
          <w:rFonts w:asciiTheme="minorHAnsi" w:hAnsiTheme="minorHAnsi" w:cs="Verdana-Bold"/>
          <w:b/>
          <w:bCs/>
          <w:color w:val="425563"/>
          <w:spacing w:val="0"/>
          <w:sz w:val="22"/>
          <w:szCs w:val="22"/>
          <w:u w:val="single"/>
        </w:rPr>
      </w:pPr>
    </w:p>
    <w:p w14:paraId="7A77B59A" w14:textId="77777777" w:rsidR="00100152" w:rsidRPr="00DE766F" w:rsidRDefault="00100152" w:rsidP="00100152">
      <w:pPr>
        <w:pStyle w:val="Akapitzlist"/>
        <w:numPr>
          <w:ilvl w:val="0"/>
          <w:numId w:val="20"/>
        </w:numPr>
        <w:suppressAutoHyphens/>
        <w:spacing w:after="60" w:line="240" w:lineRule="auto"/>
        <w:ind w:left="714" w:hanging="357"/>
        <w:jc w:val="left"/>
        <w:rPr>
          <w:rFonts w:cs="Verdana-Bold"/>
          <w:bCs/>
          <w:color w:val="425563"/>
          <w:spacing w:val="0"/>
          <w:lang w:val="pl-PL"/>
        </w:rPr>
      </w:pPr>
      <w:r>
        <w:rPr>
          <w:rFonts w:cs="Verdana-Bold"/>
          <w:b/>
          <w:bCs/>
          <w:color w:val="425563"/>
          <w:lang w:val="pl"/>
        </w:rPr>
        <w:t>3 października</w:t>
      </w:r>
      <w:r>
        <w:rPr>
          <w:rFonts w:cs="Verdana-Bold"/>
          <w:color w:val="425563"/>
          <w:lang w:val="pl"/>
        </w:rPr>
        <w:t xml:space="preserve"> Cellnex nabywa brytyjską spółkę Herbert In-Building Wireless świadczącą usługi z zakresu łączności.</w:t>
      </w:r>
    </w:p>
    <w:p w14:paraId="5D7EE122" w14:textId="77777777" w:rsidR="00100152" w:rsidRPr="00DE766F" w:rsidRDefault="00100152" w:rsidP="00100152">
      <w:pPr>
        <w:pStyle w:val="Akapitzlist"/>
        <w:numPr>
          <w:ilvl w:val="0"/>
          <w:numId w:val="20"/>
        </w:numPr>
        <w:suppressAutoHyphens/>
        <w:spacing w:after="60" w:line="240" w:lineRule="auto"/>
        <w:ind w:left="714" w:hanging="357"/>
        <w:jc w:val="left"/>
        <w:rPr>
          <w:rFonts w:cs="Verdana-Bold"/>
          <w:bCs/>
          <w:color w:val="425563"/>
          <w:spacing w:val="0"/>
          <w:lang w:val="pl-PL"/>
        </w:rPr>
      </w:pPr>
      <w:r>
        <w:rPr>
          <w:rFonts w:cs="Verdana-Bold"/>
          <w:b/>
          <w:bCs/>
          <w:color w:val="425563"/>
          <w:lang w:val="pl"/>
        </w:rPr>
        <w:t>10 października</w:t>
      </w:r>
      <w:r>
        <w:rPr>
          <w:rFonts w:cs="Verdana-Bold"/>
          <w:color w:val="425563"/>
          <w:lang w:val="pl"/>
        </w:rPr>
        <w:t xml:space="preserve"> Cellnex oraz Ferrovial podpisują umowę dotyczącą wspólnej budowy infrastruktury w celu ułatwienia wdrożenia standardu 5G w branży budowlanej.</w:t>
      </w:r>
    </w:p>
    <w:p w14:paraId="678FCFDB" w14:textId="77777777" w:rsidR="00100152" w:rsidRPr="00DE766F" w:rsidRDefault="00100152" w:rsidP="00100152">
      <w:pPr>
        <w:pStyle w:val="Akapitzlist"/>
        <w:numPr>
          <w:ilvl w:val="0"/>
          <w:numId w:val="20"/>
        </w:numPr>
        <w:suppressAutoHyphens/>
        <w:spacing w:after="60" w:line="240" w:lineRule="auto"/>
        <w:ind w:left="714" w:hanging="357"/>
        <w:jc w:val="left"/>
        <w:rPr>
          <w:rFonts w:cs="Verdana-Bold"/>
          <w:bCs/>
          <w:color w:val="425563"/>
          <w:spacing w:val="0"/>
          <w:lang w:val="pl-PL"/>
        </w:rPr>
      </w:pPr>
      <w:r>
        <w:rPr>
          <w:rFonts w:cs="Verdana-Bold"/>
          <w:b/>
          <w:bCs/>
          <w:color w:val="425563"/>
          <w:lang w:val="pl"/>
        </w:rPr>
        <w:t>13 października</w:t>
      </w:r>
      <w:r>
        <w:rPr>
          <w:rFonts w:cs="Verdana-Bold"/>
          <w:color w:val="425563"/>
          <w:lang w:val="pl"/>
        </w:rPr>
        <w:t xml:space="preserve"> Cellnex nawiązuje współpracę z Paris La Défense w zakresie realizacji projektu pilotażowego technologii 5G mmWave w dzielnicy finansowej francuskiej stolicy.</w:t>
      </w:r>
    </w:p>
    <w:p w14:paraId="13260417" w14:textId="77777777" w:rsidR="00100152" w:rsidRPr="00DE766F" w:rsidRDefault="00100152" w:rsidP="00100152">
      <w:pPr>
        <w:pStyle w:val="Akapitzlist"/>
        <w:numPr>
          <w:ilvl w:val="0"/>
          <w:numId w:val="20"/>
        </w:numPr>
        <w:suppressAutoHyphens/>
        <w:spacing w:after="60" w:line="240" w:lineRule="auto"/>
        <w:ind w:left="714" w:hanging="357"/>
        <w:jc w:val="left"/>
        <w:rPr>
          <w:rFonts w:cs="Verdana-Bold"/>
          <w:bCs/>
          <w:color w:val="425563"/>
          <w:spacing w:val="0"/>
          <w:lang w:val="pl-PL"/>
        </w:rPr>
      </w:pPr>
      <w:r>
        <w:rPr>
          <w:rFonts w:cs="Verdana-Bold"/>
          <w:b/>
          <w:bCs/>
          <w:color w:val="425563"/>
          <w:lang w:val="pl"/>
        </w:rPr>
        <w:t>18 października</w:t>
      </w:r>
      <w:r>
        <w:rPr>
          <w:rFonts w:cs="Verdana-Bold"/>
          <w:color w:val="425563"/>
          <w:lang w:val="pl"/>
        </w:rPr>
        <w:t xml:space="preserve"> Cellnex otrzymuje najwyższą ocenę (A) w ramach Publicznego sprawozdania o infrastrukturze GRESB, uzyskując najwyższą pozycję wśród spółek z sektora infrastruktury telekomunikacyjnej.</w:t>
      </w:r>
    </w:p>
    <w:p w14:paraId="34779FAD" w14:textId="77777777" w:rsidR="00100152" w:rsidRPr="00DE766F" w:rsidRDefault="00100152" w:rsidP="00100152">
      <w:pPr>
        <w:pStyle w:val="Akapitzlist"/>
        <w:numPr>
          <w:ilvl w:val="0"/>
          <w:numId w:val="20"/>
        </w:numPr>
        <w:suppressAutoHyphens/>
        <w:spacing w:after="60" w:line="240" w:lineRule="auto"/>
        <w:ind w:left="714" w:hanging="357"/>
        <w:jc w:val="left"/>
        <w:rPr>
          <w:rFonts w:cs="Verdana-Bold"/>
          <w:bCs/>
          <w:color w:val="425563"/>
          <w:spacing w:val="0"/>
          <w:lang w:val="pl-PL"/>
        </w:rPr>
      </w:pPr>
      <w:r>
        <w:rPr>
          <w:rFonts w:cs="Verdana-Bold"/>
          <w:b/>
          <w:bCs/>
          <w:color w:val="425563"/>
          <w:lang w:val="pl"/>
        </w:rPr>
        <w:t>19 października</w:t>
      </w:r>
      <w:r>
        <w:rPr>
          <w:rFonts w:cs="Verdana-Bold"/>
          <w:color w:val="425563"/>
          <w:lang w:val="pl"/>
        </w:rPr>
        <w:t xml:space="preserve"> Cellnex finalizuje proces integracji w Polsce i otwiera nową centralę w Warszawie.</w:t>
      </w:r>
    </w:p>
    <w:p w14:paraId="6C3587F6" w14:textId="77777777" w:rsidR="00100152" w:rsidRPr="00DE766F" w:rsidRDefault="00100152" w:rsidP="00100152">
      <w:pPr>
        <w:pStyle w:val="Akapitzlist"/>
        <w:numPr>
          <w:ilvl w:val="0"/>
          <w:numId w:val="20"/>
        </w:numPr>
        <w:suppressAutoHyphens/>
        <w:spacing w:after="60" w:line="240" w:lineRule="auto"/>
        <w:ind w:left="714" w:hanging="357"/>
        <w:jc w:val="left"/>
        <w:rPr>
          <w:rFonts w:cs="Verdana-Bold"/>
          <w:bCs/>
          <w:color w:val="425563"/>
          <w:spacing w:val="0"/>
          <w:lang w:val="pl-PL"/>
        </w:rPr>
      </w:pPr>
      <w:r>
        <w:rPr>
          <w:rFonts w:cs="Verdana-Bold"/>
          <w:b/>
          <w:bCs/>
          <w:color w:val="425563"/>
          <w:lang w:val="pl"/>
        </w:rPr>
        <w:t xml:space="preserve">24 października </w:t>
      </w:r>
      <w:r>
        <w:rPr>
          <w:rFonts w:cs="Verdana-Bold"/>
          <w:color w:val="425563"/>
          <w:lang w:val="pl"/>
        </w:rPr>
        <w:t>Cellnex zawiera umowę z WIG na sprzedaż niemal 1100 stacji bazowych na rzecz brytyjskiego operatora infrastrukturalnego w ramach zamknięcia transakcji z CK Hutchison w Wielkiej Brytanii.</w:t>
      </w:r>
    </w:p>
    <w:p w14:paraId="5CADD995" w14:textId="77777777" w:rsidR="00100152" w:rsidRPr="00DE766F" w:rsidRDefault="00100152" w:rsidP="00100152">
      <w:pPr>
        <w:suppressAutoHyphens/>
        <w:spacing w:after="0" w:line="240" w:lineRule="auto"/>
        <w:jc w:val="left"/>
        <w:rPr>
          <w:rFonts w:asciiTheme="minorHAnsi" w:hAnsiTheme="minorHAnsi" w:cs="Verdana-Bold"/>
          <w:color w:val="425563"/>
          <w:spacing w:val="0"/>
          <w:lang w:val="pl-PL"/>
        </w:rPr>
      </w:pPr>
    </w:p>
    <w:p w14:paraId="148114A7"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bookmarkStart w:id="6" w:name="_Hlk127344224"/>
      <w:r>
        <w:rPr>
          <w:rFonts w:cs="Verdana-Bold"/>
          <w:b/>
          <w:bCs/>
          <w:color w:val="425563"/>
          <w:sz w:val="22"/>
          <w:szCs w:val="22"/>
          <w:u w:val="single"/>
          <w:lang w:val="pl"/>
        </w:rPr>
        <w:t>Listopad</w:t>
      </w:r>
    </w:p>
    <w:bookmarkEnd w:id="6"/>
    <w:p w14:paraId="3702173F" w14:textId="77777777" w:rsidR="00100152" w:rsidRPr="00100152" w:rsidRDefault="00100152" w:rsidP="00100152">
      <w:pPr>
        <w:suppressAutoHyphens/>
        <w:spacing w:after="0" w:line="240" w:lineRule="auto"/>
        <w:jc w:val="left"/>
        <w:rPr>
          <w:rFonts w:asciiTheme="minorHAnsi" w:hAnsiTheme="minorHAnsi" w:cs="Verdana-Bold"/>
          <w:b/>
          <w:bCs/>
          <w:color w:val="425563"/>
          <w:spacing w:val="0"/>
          <w:sz w:val="22"/>
          <w:szCs w:val="22"/>
          <w:u w:val="single"/>
        </w:rPr>
      </w:pPr>
    </w:p>
    <w:p w14:paraId="664297C9" w14:textId="77777777" w:rsidR="00100152" w:rsidRPr="00DE766F" w:rsidRDefault="00100152" w:rsidP="00100152">
      <w:pPr>
        <w:pStyle w:val="Akapitzlist"/>
        <w:numPr>
          <w:ilvl w:val="0"/>
          <w:numId w:val="20"/>
        </w:numPr>
        <w:suppressAutoHyphens/>
        <w:spacing w:after="0" w:line="240" w:lineRule="auto"/>
        <w:ind w:left="714" w:hanging="357"/>
        <w:jc w:val="left"/>
        <w:rPr>
          <w:rFonts w:cs="Verdana-Bold"/>
          <w:b/>
          <w:bCs/>
          <w:color w:val="425563"/>
          <w:spacing w:val="0"/>
          <w:lang w:val="pl-PL"/>
        </w:rPr>
      </w:pPr>
      <w:r>
        <w:rPr>
          <w:rFonts w:cs="Verdana-Bold"/>
          <w:b/>
          <w:bCs/>
          <w:color w:val="425563"/>
          <w:lang w:val="pl"/>
        </w:rPr>
        <w:t>10 listopada</w:t>
      </w:r>
      <w:r>
        <w:rPr>
          <w:rFonts w:cs="Verdana-Bold"/>
          <w:color w:val="425563"/>
          <w:lang w:val="pl"/>
        </w:rPr>
        <w:t xml:space="preserve"> Cellnex zawiera umowę z CK Hutchison w Wielkiej Brytanii (co obejmuje udziały oraz przychody uzyskiwane z maksymalnie 6600 stacji bazowych po zakończeniu programów budowy na zamówienie [build to suit, BTS]) w celu uruchomienia nowych stacji bazowych.</w:t>
      </w:r>
    </w:p>
    <w:p w14:paraId="23C5FA4C" w14:textId="77777777" w:rsidR="00100152" w:rsidRPr="00DE766F" w:rsidRDefault="00100152" w:rsidP="00100152">
      <w:pPr>
        <w:pStyle w:val="Akapitzlist"/>
        <w:numPr>
          <w:ilvl w:val="0"/>
          <w:numId w:val="20"/>
        </w:numPr>
        <w:suppressAutoHyphens/>
        <w:spacing w:after="0" w:line="240" w:lineRule="auto"/>
        <w:ind w:left="714" w:hanging="357"/>
        <w:jc w:val="left"/>
        <w:rPr>
          <w:rFonts w:cs="Verdana-Bold"/>
          <w:bCs/>
          <w:color w:val="425563"/>
          <w:spacing w:val="0"/>
          <w:lang w:val="pl-PL"/>
        </w:rPr>
      </w:pPr>
      <w:r>
        <w:rPr>
          <w:rFonts w:cs="Verdana-Bold"/>
          <w:b/>
          <w:bCs/>
          <w:color w:val="425563"/>
          <w:lang w:val="pl"/>
        </w:rPr>
        <w:t>11 listopada</w:t>
      </w:r>
      <w:r>
        <w:rPr>
          <w:rFonts w:cs="Verdana-Bold"/>
          <w:color w:val="425563"/>
          <w:lang w:val="pl"/>
        </w:rPr>
        <w:t xml:space="preserve"> Cellnex ogłasza otwarcie nowego rozdziału w historii rozwoju spółki, ukierunkowanego na wzrost organiczny, redukcję zadłużenia i uzyskaniu klasy inwestycyjnej od S&amp;P.</w:t>
      </w:r>
    </w:p>
    <w:p w14:paraId="7D200E3F" w14:textId="77777777" w:rsidR="00100152" w:rsidRPr="00DE766F" w:rsidRDefault="00100152" w:rsidP="00100152">
      <w:pPr>
        <w:pStyle w:val="Akapitzlist"/>
        <w:numPr>
          <w:ilvl w:val="0"/>
          <w:numId w:val="20"/>
        </w:numPr>
        <w:suppressAutoHyphens/>
        <w:spacing w:after="0" w:line="240" w:lineRule="auto"/>
        <w:ind w:left="714" w:hanging="357"/>
        <w:jc w:val="left"/>
        <w:rPr>
          <w:rFonts w:cs="Verdana-Bold"/>
          <w:bCs/>
          <w:color w:val="425563"/>
          <w:spacing w:val="0"/>
          <w:lang w:val="pl-PL"/>
        </w:rPr>
      </w:pPr>
      <w:r>
        <w:rPr>
          <w:rFonts w:cs="Verdana-Bold"/>
          <w:b/>
          <w:bCs/>
          <w:color w:val="425563"/>
          <w:lang w:val="pl"/>
        </w:rPr>
        <w:t xml:space="preserve">18 listopada </w:t>
      </w:r>
      <w:r>
        <w:rPr>
          <w:rFonts w:cs="Verdana-Bold"/>
          <w:color w:val="425563"/>
          <w:lang w:val="pl"/>
        </w:rPr>
        <w:t>samorząd Andaluzji zleca Cellnex i Axión świadczenie usług komunikacji mobilnej dla służb ochrony bezpieczeństwa i służb ratunkowych w Andaluzji.</w:t>
      </w:r>
    </w:p>
    <w:p w14:paraId="51CF8285" w14:textId="77777777" w:rsidR="00100152" w:rsidRPr="00DE766F" w:rsidRDefault="00100152" w:rsidP="00100152">
      <w:pPr>
        <w:pStyle w:val="Akapitzlist"/>
        <w:numPr>
          <w:ilvl w:val="0"/>
          <w:numId w:val="20"/>
        </w:numPr>
        <w:rPr>
          <w:rFonts w:cs="Verdana-Bold"/>
          <w:bCs/>
          <w:color w:val="425563"/>
          <w:spacing w:val="0"/>
          <w:lang w:val="pl-PL"/>
        </w:rPr>
      </w:pPr>
      <w:r>
        <w:rPr>
          <w:rFonts w:cs="Verdana-Bold"/>
          <w:b/>
          <w:bCs/>
          <w:color w:val="425563"/>
          <w:lang w:val="pl"/>
        </w:rPr>
        <w:t xml:space="preserve">24 listopada </w:t>
      </w:r>
      <w:r>
        <w:rPr>
          <w:rFonts w:cs="Verdana-Bold"/>
          <w:color w:val="425563"/>
          <w:lang w:val="pl"/>
        </w:rPr>
        <w:t>spółka wypłaca dywidendę w wysokości 0,03518 EUR na akcję, obciążając rezerwy.</w:t>
      </w:r>
    </w:p>
    <w:p w14:paraId="20CEF711" w14:textId="77777777" w:rsidR="00100152" w:rsidRPr="00DE766F" w:rsidRDefault="00100152" w:rsidP="00100152">
      <w:pPr>
        <w:pStyle w:val="Akapitzlist"/>
        <w:numPr>
          <w:ilvl w:val="0"/>
          <w:numId w:val="20"/>
        </w:numPr>
        <w:suppressAutoHyphens/>
        <w:spacing w:after="0" w:line="240" w:lineRule="auto"/>
        <w:ind w:left="714" w:hanging="357"/>
        <w:jc w:val="left"/>
        <w:rPr>
          <w:rFonts w:cs="Verdana-Bold"/>
          <w:bCs/>
          <w:color w:val="425563"/>
          <w:spacing w:val="0"/>
          <w:lang w:val="pl-PL"/>
        </w:rPr>
      </w:pPr>
      <w:r>
        <w:rPr>
          <w:rFonts w:cs="Verdana-Bold"/>
          <w:b/>
          <w:bCs/>
          <w:color w:val="425563"/>
          <w:lang w:val="pl"/>
        </w:rPr>
        <w:t xml:space="preserve">25 listopada </w:t>
      </w:r>
      <w:r>
        <w:rPr>
          <w:rFonts w:cs="Verdana-Bold"/>
          <w:color w:val="425563"/>
          <w:lang w:val="pl"/>
        </w:rPr>
        <w:t>Cellnex przeprowadza pomyślny test akumulatorów aluminiowo-powietrznych jako potencjalnego odnawialnego źródła energii dla swoich stacji bazowych.</w:t>
      </w:r>
    </w:p>
    <w:p w14:paraId="3EE91D58"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10178E77"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bookmarkStart w:id="7" w:name="_Hlk127344534"/>
      <w:r>
        <w:rPr>
          <w:rFonts w:cs="Verdana-Bold"/>
          <w:b/>
          <w:bCs/>
          <w:color w:val="425563"/>
          <w:sz w:val="22"/>
          <w:szCs w:val="22"/>
          <w:u w:val="single"/>
          <w:lang w:val="pl"/>
        </w:rPr>
        <w:t>Grudzień</w:t>
      </w:r>
    </w:p>
    <w:bookmarkEnd w:id="7"/>
    <w:p w14:paraId="72C1285F" w14:textId="77777777" w:rsidR="00100152" w:rsidRPr="00100152" w:rsidRDefault="00100152" w:rsidP="00100152">
      <w:pPr>
        <w:suppressAutoHyphens/>
        <w:spacing w:after="0" w:line="240" w:lineRule="auto"/>
        <w:jc w:val="left"/>
        <w:rPr>
          <w:rFonts w:asciiTheme="minorHAnsi" w:hAnsiTheme="minorHAnsi" w:cs="Verdana-Bold"/>
          <w:b/>
          <w:bCs/>
          <w:color w:val="425563"/>
          <w:spacing w:val="0"/>
          <w:sz w:val="22"/>
          <w:szCs w:val="22"/>
          <w:u w:val="single"/>
        </w:rPr>
      </w:pPr>
    </w:p>
    <w:p w14:paraId="7736A6BD"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lastRenderedPageBreak/>
        <w:t>1 grudnia</w:t>
      </w:r>
      <w:r>
        <w:rPr>
          <w:rFonts w:cs="Verdana-Bold"/>
          <w:color w:val="425563"/>
          <w:lang w:val="pl"/>
        </w:rPr>
        <w:t xml:space="preserve"> Katalońskie Stowarzyszenie Księgowości i Zarządzania (ACCID) nagradza spółkę Cellnex za jej dobre praktyki w zakresie informacji finansowych.</w:t>
      </w:r>
    </w:p>
    <w:p w14:paraId="06A7A5F6"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9 grudnia</w:t>
      </w:r>
      <w:r>
        <w:rPr>
          <w:rFonts w:cs="Verdana-Bold"/>
          <w:color w:val="425563"/>
          <w:lang w:val="pl"/>
        </w:rPr>
        <w:t xml:space="preserve"> Cellnex podpisuje umowę ze spółką Bauhaus w Szwecji na zapewnianie zasięgu sieci komórkowej w jej sklepach w tym kraju.</w:t>
      </w:r>
    </w:p>
    <w:p w14:paraId="6896873C"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 xml:space="preserve">13 grudnia </w:t>
      </w:r>
      <w:r>
        <w:rPr>
          <w:rFonts w:cs="Verdana-Bold"/>
          <w:color w:val="425563"/>
          <w:lang w:val="pl"/>
        </w:rPr>
        <w:t>spółka Cellnex zostaje wyróżniona przez CDP za swoje zaangażowanie w walkę ze zmianami klimatu, umacniając swoją pozycję na „Liście A” czwarty rok z rzędu.</w:t>
      </w:r>
    </w:p>
    <w:p w14:paraId="71CF03D4"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20 grudnia</w:t>
      </w:r>
      <w:r>
        <w:rPr>
          <w:rFonts w:cs="Verdana-Bold"/>
          <w:color w:val="425563"/>
          <w:lang w:val="pl"/>
        </w:rPr>
        <w:t xml:space="preserve"> Komisja Europejska zleca spółce Cellnex realizację sześciu projektów w celu wypromowania infrastruktury 5G w korytarzach transportowych.</w:t>
      </w:r>
    </w:p>
    <w:p w14:paraId="2DD2BF99"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23 grudnia</w:t>
      </w:r>
      <w:r>
        <w:rPr>
          <w:rFonts w:cs="Verdana-Bold"/>
          <w:color w:val="425563"/>
          <w:lang w:val="pl"/>
        </w:rPr>
        <w:t xml:space="preserve"> Real </w:t>
      </w:r>
      <w:proofErr w:type="spellStart"/>
      <w:r>
        <w:rPr>
          <w:rFonts w:cs="Verdana-Bold"/>
          <w:color w:val="425563"/>
          <w:lang w:val="pl"/>
        </w:rPr>
        <w:t>Betis</w:t>
      </w:r>
      <w:proofErr w:type="spellEnd"/>
      <w:r>
        <w:rPr>
          <w:rFonts w:cs="Verdana-Bold"/>
          <w:color w:val="425563"/>
          <w:lang w:val="pl"/>
        </w:rPr>
        <w:t xml:space="preserve"> i Cellnex łączą siły, rewolucjonizując „doznania kibiców” na stadionach za pośrednictwem telefonów komórkowych.</w:t>
      </w:r>
    </w:p>
    <w:p w14:paraId="090D137F"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6A1280FA"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67283FFC"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38A967F4"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36F5D736"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1E128CBD"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52A0C0B0"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18727D7E"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252A7D43"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26664075"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566F52BB"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495EB0F1"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12568A55"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7BFFE561"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2D0E9732"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446AEACE"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32B0802B"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69432071"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7946337B"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3A4824E7"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67618D9F"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50CF05D6"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2958F464"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3FF90E75"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0083BCD2"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77031E2A"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6E48B422"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2D2D68B7"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07B5C6AD"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2C8331F3" w14:textId="77777777" w:rsidR="00C71650" w:rsidRDefault="00C71650" w:rsidP="00100152">
      <w:pPr>
        <w:suppressAutoHyphens/>
        <w:spacing w:after="0" w:line="240" w:lineRule="auto"/>
        <w:ind w:left="567" w:right="113" w:hanging="567"/>
        <w:jc w:val="left"/>
        <w:rPr>
          <w:b/>
          <w:bCs/>
          <w:color w:val="425563"/>
          <w:sz w:val="28"/>
          <w:szCs w:val="28"/>
          <w:u w:val="single"/>
          <w:lang w:val="pl"/>
        </w:rPr>
      </w:pPr>
    </w:p>
    <w:p w14:paraId="55B1AA7B" w14:textId="63937F30" w:rsidR="00100152" w:rsidRPr="00DE766F" w:rsidRDefault="00100152" w:rsidP="00100152">
      <w:pPr>
        <w:suppressAutoHyphens/>
        <w:spacing w:after="0" w:line="240" w:lineRule="auto"/>
        <w:ind w:left="567" w:right="113" w:hanging="567"/>
        <w:jc w:val="left"/>
        <w:rPr>
          <w:b/>
          <w:bCs/>
          <w:color w:val="425563"/>
          <w:spacing w:val="0"/>
          <w:sz w:val="28"/>
          <w:szCs w:val="28"/>
          <w:u w:val="single"/>
          <w:lang w:val="pl-PL"/>
        </w:rPr>
      </w:pPr>
      <w:r>
        <w:rPr>
          <w:b/>
          <w:bCs/>
          <w:color w:val="425563"/>
          <w:sz w:val="28"/>
          <w:szCs w:val="28"/>
          <w:u w:val="single"/>
          <w:lang w:val="pl"/>
        </w:rPr>
        <w:lastRenderedPageBreak/>
        <w:t xml:space="preserve">Załącznik 3. </w:t>
      </w:r>
      <w:r>
        <w:rPr>
          <w:color w:val="425563"/>
          <w:sz w:val="28"/>
          <w:szCs w:val="28"/>
          <w:u w:val="single"/>
          <w:lang w:val="pl"/>
        </w:rPr>
        <w:t>Znaczące wydarzenia w roku 2023</w:t>
      </w:r>
    </w:p>
    <w:p w14:paraId="1BE60521"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625F91A9"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r>
        <w:rPr>
          <w:rFonts w:cs="Verdana-Bold"/>
          <w:b/>
          <w:bCs/>
          <w:color w:val="425563"/>
          <w:sz w:val="22"/>
          <w:szCs w:val="22"/>
          <w:u w:val="single"/>
          <w:lang w:val="pl"/>
        </w:rPr>
        <w:t>Styczeń</w:t>
      </w:r>
    </w:p>
    <w:p w14:paraId="0763F5F6" w14:textId="77777777" w:rsidR="00100152" w:rsidRPr="00100152" w:rsidRDefault="00100152" w:rsidP="00100152">
      <w:pPr>
        <w:suppressAutoHyphens/>
        <w:spacing w:after="0" w:line="240" w:lineRule="auto"/>
        <w:jc w:val="left"/>
        <w:rPr>
          <w:rFonts w:asciiTheme="minorHAnsi" w:hAnsiTheme="minorHAnsi" w:cs="Verdana-Bold"/>
          <w:b/>
          <w:bCs/>
          <w:color w:val="425563"/>
          <w:spacing w:val="0"/>
          <w:sz w:val="22"/>
          <w:szCs w:val="22"/>
          <w:u w:val="single"/>
        </w:rPr>
      </w:pPr>
    </w:p>
    <w:p w14:paraId="20DF919F"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10 stycznia</w:t>
      </w:r>
      <w:r>
        <w:rPr>
          <w:rFonts w:cs="Verdana-Bold"/>
          <w:color w:val="425563"/>
          <w:lang w:val="pl"/>
        </w:rPr>
        <w:t xml:space="preserve"> Three UK przyłącza się do projektu łączności wdrażanego przez Cellnex UK na linii kolejowej Brighton Mainline łączącej Londyn i </w:t>
      </w:r>
      <w:proofErr w:type="spellStart"/>
      <w:r>
        <w:rPr>
          <w:rFonts w:cs="Verdana-Bold"/>
          <w:color w:val="425563"/>
          <w:lang w:val="pl"/>
        </w:rPr>
        <w:t>Brighton</w:t>
      </w:r>
      <w:proofErr w:type="spellEnd"/>
      <w:r>
        <w:rPr>
          <w:rFonts w:cs="Verdana-Bold"/>
          <w:color w:val="425563"/>
          <w:lang w:val="pl"/>
        </w:rPr>
        <w:t xml:space="preserve"> w Wielkiej Brytanii.</w:t>
      </w:r>
    </w:p>
    <w:p w14:paraId="3BE23D87"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11 stycznia</w:t>
      </w:r>
      <w:r>
        <w:rPr>
          <w:rFonts w:cs="Verdana-Bold"/>
          <w:color w:val="425563"/>
          <w:lang w:val="pl"/>
        </w:rPr>
        <w:t xml:space="preserve"> Tobias Martinez składa rezygnację ze stanowiska Dyrektora wykonawczego spółki. Ustąpi on ze stanowiska Dyrektora wykonawczego po Walnym zgromadzeniu akcjonariuszy Grupy zaplanowanym na czerwiec 2023 r.</w:t>
      </w:r>
    </w:p>
    <w:p w14:paraId="715F49CB"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12 stycznia</w:t>
      </w:r>
      <w:r>
        <w:rPr>
          <w:rFonts w:cs="Verdana-Bold"/>
          <w:color w:val="425563"/>
          <w:lang w:val="pl"/>
        </w:rPr>
        <w:t xml:space="preserve"> </w:t>
      </w:r>
      <w:proofErr w:type="spellStart"/>
      <w:r>
        <w:rPr>
          <w:rFonts w:cs="Verdana-Bold"/>
          <w:color w:val="425563"/>
          <w:lang w:val="pl"/>
        </w:rPr>
        <w:t>Vapor</w:t>
      </w:r>
      <w:proofErr w:type="spellEnd"/>
      <w:r>
        <w:rPr>
          <w:rFonts w:cs="Verdana-Bold"/>
          <w:color w:val="425563"/>
          <w:lang w:val="pl"/>
        </w:rPr>
        <w:t xml:space="preserve"> IO rozszerza swoją sieć przetwarzania brzegowego na Europę za pośrednictwem Cellnex. </w:t>
      </w:r>
    </w:p>
    <w:p w14:paraId="6F9EE435"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 xml:space="preserve">16 stycznia </w:t>
      </w:r>
      <w:r>
        <w:rPr>
          <w:rFonts w:cs="Verdana-Bold"/>
          <w:color w:val="425563"/>
          <w:lang w:val="pl"/>
        </w:rPr>
        <w:t>Cellnex udostępnia wewnętrzną łączność bezprzewodową w placówkach The Social Hub w Holandii i Austrii.</w:t>
      </w:r>
    </w:p>
    <w:p w14:paraId="3DA5C203"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18 stycznia</w:t>
      </w:r>
      <w:r>
        <w:rPr>
          <w:rFonts w:cs="Verdana-Bold"/>
          <w:color w:val="425563"/>
          <w:lang w:val="pl"/>
        </w:rPr>
        <w:t xml:space="preserve"> RTVE przyznaje spółce Cellnex prawa do transmisji swoich sygnałów radiowych i telewizyjnych na następne pięć lat.</w:t>
      </w:r>
    </w:p>
    <w:p w14:paraId="1B10B134"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19 stycznia</w:t>
      </w:r>
      <w:r>
        <w:rPr>
          <w:rFonts w:cs="Verdana-Bold"/>
          <w:color w:val="425563"/>
          <w:lang w:val="pl"/>
        </w:rPr>
        <w:t xml:space="preserve"> Cellnex i Nokia uruchamiają sieć 5G w centrach logistycznych ADIF.</w:t>
      </w:r>
    </w:p>
    <w:p w14:paraId="6A6ACFA3"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 xml:space="preserve">24 stycznia </w:t>
      </w:r>
      <w:r>
        <w:rPr>
          <w:rFonts w:cs="Verdana-Bold"/>
          <w:color w:val="425563"/>
          <w:lang w:val="pl"/>
        </w:rPr>
        <w:t xml:space="preserve">spółka Deutsche Telekom (DT) szósty rok z rzędu przyznaje spółce Cellnex status „Usługodawcy bez przestojów” (Zero </w:t>
      </w:r>
      <w:proofErr w:type="spellStart"/>
      <w:r>
        <w:rPr>
          <w:rFonts w:cs="Verdana-Bold"/>
          <w:color w:val="425563"/>
          <w:lang w:val="pl"/>
        </w:rPr>
        <w:t>Outage</w:t>
      </w:r>
      <w:proofErr w:type="spellEnd"/>
      <w:r>
        <w:rPr>
          <w:rFonts w:cs="Verdana-Bold"/>
          <w:color w:val="425563"/>
          <w:lang w:val="pl"/>
        </w:rPr>
        <w:t xml:space="preserve"> Supplier).</w:t>
      </w:r>
    </w:p>
    <w:p w14:paraId="1EAC7F73"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31 stycznia</w:t>
      </w:r>
      <w:r>
        <w:rPr>
          <w:rFonts w:cs="Verdana-Bold"/>
          <w:color w:val="425563"/>
          <w:lang w:val="pl"/>
        </w:rPr>
        <w:t xml:space="preserve"> spółka Cellnex zostaje włączona do indeksu równouprawnienia płci (Gender Equality Index) spółki Bloomberg drugi rok z rzędu.</w:t>
      </w:r>
    </w:p>
    <w:p w14:paraId="5AA23372" w14:textId="77777777" w:rsidR="00100152" w:rsidRPr="00DE766F" w:rsidRDefault="00100152" w:rsidP="00100152">
      <w:pPr>
        <w:suppressAutoHyphens/>
        <w:spacing w:after="0" w:line="240" w:lineRule="auto"/>
        <w:jc w:val="left"/>
        <w:rPr>
          <w:rFonts w:asciiTheme="minorHAnsi" w:hAnsiTheme="minorHAnsi" w:cs="Verdana-Bold"/>
          <w:b/>
          <w:bCs/>
          <w:color w:val="425563"/>
          <w:spacing w:val="0"/>
          <w:sz w:val="22"/>
          <w:szCs w:val="22"/>
          <w:u w:val="single"/>
          <w:lang w:val="pl-PL"/>
        </w:rPr>
      </w:pPr>
    </w:p>
    <w:p w14:paraId="1B9C7FFF" w14:textId="77777777" w:rsidR="00100152" w:rsidRPr="00100152" w:rsidRDefault="00100152" w:rsidP="00100152">
      <w:pPr>
        <w:suppressAutoHyphens/>
        <w:spacing w:after="0" w:line="240" w:lineRule="auto"/>
        <w:jc w:val="left"/>
        <w:rPr>
          <w:rFonts w:cs="Verdana-Bold"/>
          <w:b/>
          <w:bCs/>
          <w:color w:val="425563"/>
          <w:spacing w:val="0"/>
          <w:sz w:val="22"/>
          <w:szCs w:val="22"/>
          <w:u w:val="single"/>
        </w:rPr>
      </w:pPr>
      <w:r>
        <w:rPr>
          <w:rFonts w:cs="Verdana-Bold"/>
          <w:b/>
          <w:bCs/>
          <w:color w:val="425563"/>
          <w:sz w:val="22"/>
          <w:szCs w:val="22"/>
          <w:u w:val="single"/>
          <w:lang w:val="pl"/>
        </w:rPr>
        <w:t>Luty</w:t>
      </w:r>
    </w:p>
    <w:p w14:paraId="5DE71C79" w14:textId="77777777" w:rsidR="00100152" w:rsidRPr="00100152" w:rsidRDefault="00100152" w:rsidP="00100152">
      <w:pPr>
        <w:suppressAutoHyphens/>
        <w:spacing w:after="0" w:line="240" w:lineRule="auto"/>
        <w:jc w:val="left"/>
        <w:rPr>
          <w:rFonts w:asciiTheme="minorHAnsi" w:hAnsiTheme="minorHAnsi" w:cs="Verdana-Bold"/>
          <w:b/>
          <w:bCs/>
          <w:color w:val="425563"/>
          <w:spacing w:val="0"/>
          <w:sz w:val="22"/>
          <w:szCs w:val="22"/>
          <w:u w:val="single"/>
        </w:rPr>
      </w:pPr>
    </w:p>
    <w:p w14:paraId="063C28B3"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3 lutego</w:t>
      </w:r>
      <w:r>
        <w:rPr>
          <w:rFonts w:cs="Verdana-Bold"/>
          <w:color w:val="425563"/>
          <w:lang w:val="pl"/>
        </w:rPr>
        <w:t xml:space="preserve"> Cellnex testuje transmisję 3G podczas targów ISE i MWC.</w:t>
      </w:r>
    </w:p>
    <w:p w14:paraId="4CF20D3B"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8 lutego</w:t>
      </w:r>
      <w:r>
        <w:rPr>
          <w:rFonts w:cs="Verdana-Bold"/>
          <w:color w:val="425563"/>
          <w:lang w:val="pl"/>
        </w:rPr>
        <w:t xml:space="preserve"> spółka Cellnex i Uniwersytet w Dublinie (Dublin City University, DCU) nawiązują współpracę w celu stworzenia pierwszego w Irlandii „inteligentnego kampusu” 5G.</w:t>
      </w:r>
    </w:p>
    <w:p w14:paraId="7CF25EBB"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14 lutego</w:t>
      </w:r>
      <w:r>
        <w:rPr>
          <w:rFonts w:cs="Verdana-Bold"/>
          <w:color w:val="425563"/>
          <w:lang w:val="pl"/>
        </w:rPr>
        <w:t xml:space="preserve"> spółka Cellnex montuje system anten rozproszonych (Distributed Antenna System, DAS) na stadionie El Sadar (CA Osasuna) w celu uruchomienia technologii 5G.</w:t>
      </w:r>
    </w:p>
    <w:p w14:paraId="79292504" w14:textId="77777777" w:rsidR="00100152" w:rsidRPr="00DE766F" w:rsidRDefault="00100152" w:rsidP="00100152">
      <w:pPr>
        <w:pStyle w:val="Akapitzlist"/>
        <w:numPr>
          <w:ilvl w:val="0"/>
          <w:numId w:val="20"/>
        </w:numPr>
        <w:suppressAutoHyphens/>
        <w:rPr>
          <w:rFonts w:cs="Verdana-Bold"/>
          <w:bCs/>
          <w:color w:val="425563"/>
          <w:spacing w:val="0"/>
          <w:lang w:val="pl-PL"/>
        </w:rPr>
      </w:pPr>
      <w:r>
        <w:rPr>
          <w:rFonts w:cs="Verdana-Bold"/>
          <w:b/>
          <w:bCs/>
          <w:color w:val="425563"/>
          <w:lang w:val="pl"/>
        </w:rPr>
        <w:t xml:space="preserve">27 lutego </w:t>
      </w:r>
      <w:r>
        <w:rPr>
          <w:rFonts w:cs="Verdana-Bold"/>
          <w:color w:val="425563"/>
          <w:lang w:val="pl"/>
        </w:rPr>
        <w:t xml:space="preserve">podczas targów telekomunikacyjnych Mobile World Congress w Barcelonie spółka Cellnex prezentuje model przemysłowy </w:t>
      </w:r>
      <w:proofErr w:type="spellStart"/>
      <w:r>
        <w:rPr>
          <w:rFonts w:cs="Verdana-Bold"/>
          <w:color w:val="425563"/>
          <w:lang w:val="pl"/>
        </w:rPr>
        <w:t>Augmented</w:t>
      </w:r>
      <w:proofErr w:type="spellEnd"/>
      <w:r>
        <w:rPr>
          <w:rFonts w:cs="Verdana-Bold"/>
          <w:color w:val="425563"/>
          <w:lang w:val="pl"/>
        </w:rPr>
        <w:t xml:space="preserve"> </w:t>
      </w:r>
      <w:proofErr w:type="spellStart"/>
      <w:r>
        <w:rPr>
          <w:rFonts w:cs="Verdana-Bold"/>
          <w:color w:val="425563"/>
          <w:lang w:val="pl"/>
        </w:rPr>
        <w:t>TowerCo</w:t>
      </w:r>
      <w:proofErr w:type="spellEnd"/>
      <w:r>
        <w:rPr>
          <w:rFonts w:cs="Verdana-Bold"/>
          <w:color w:val="425563"/>
          <w:lang w:val="pl"/>
        </w:rPr>
        <w:t>.</w:t>
      </w:r>
    </w:p>
    <w:p w14:paraId="3A7DF8AC" w14:textId="77777777" w:rsidR="00100152" w:rsidRPr="00DE766F" w:rsidRDefault="00100152" w:rsidP="00100152">
      <w:pPr>
        <w:suppressAutoHyphens/>
        <w:spacing w:after="0" w:line="240" w:lineRule="auto"/>
        <w:jc w:val="left"/>
        <w:rPr>
          <w:rFonts w:asciiTheme="minorHAnsi" w:hAnsiTheme="minorHAnsi" w:cs="Verdana-Bold"/>
          <w:b/>
          <w:bCs/>
          <w:color w:val="425563"/>
          <w:spacing w:val="0"/>
          <w:sz w:val="22"/>
          <w:szCs w:val="22"/>
          <w:u w:val="single"/>
          <w:lang w:val="pl-PL"/>
        </w:rPr>
      </w:pPr>
    </w:p>
    <w:p w14:paraId="0DB9BFD2"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2A008CE5"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7229EA1B"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4D07017F"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20D1505D"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1904B07E"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63F387CB"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10AD7587"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69827C67"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4DEB7CBE"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5E1D727E"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2ABE3413"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5DE090BF"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123616CE" w14:textId="77777777" w:rsidR="00100152" w:rsidRPr="00DE766F" w:rsidRDefault="00100152" w:rsidP="00100152">
      <w:pPr>
        <w:suppressAutoHyphens/>
        <w:spacing w:after="0" w:line="240" w:lineRule="auto"/>
        <w:jc w:val="left"/>
        <w:rPr>
          <w:b/>
          <w:color w:val="425563"/>
          <w:spacing w:val="0"/>
          <w:sz w:val="28"/>
          <w:szCs w:val="28"/>
          <w:u w:val="single"/>
          <w:lang w:val="pl-PL"/>
        </w:rPr>
      </w:pPr>
    </w:p>
    <w:p w14:paraId="40158D17" w14:textId="77777777" w:rsidR="00100152" w:rsidRPr="00DE766F" w:rsidRDefault="00100152" w:rsidP="00100152">
      <w:pPr>
        <w:spacing w:after="0" w:line="240" w:lineRule="auto"/>
        <w:jc w:val="left"/>
        <w:rPr>
          <w:bCs/>
          <w:color w:val="425563"/>
          <w:spacing w:val="0"/>
          <w:sz w:val="28"/>
          <w:szCs w:val="28"/>
          <w:u w:val="single"/>
          <w:lang w:val="pl-PL"/>
        </w:rPr>
      </w:pPr>
      <w:r>
        <w:rPr>
          <w:b/>
          <w:bCs/>
          <w:color w:val="425563"/>
          <w:sz w:val="28"/>
          <w:szCs w:val="28"/>
          <w:u w:val="single"/>
          <w:lang w:val="pl"/>
        </w:rPr>
        <w:lastRenderedPageBreak/>
        <w:t xml:space="preserve">Załącznik 4. </w:t>
      </w:r>
      <w:r>
        <w:rPr>
          <w:color w:val="425563"/>
          <w:sz w:val="28"/>
          <w:szCs w:val="28"/>
          <w:u w:val="single"/>
          <w:lang w:val="pl"/>
        </w:rPr>
        <w:t>Alternatywne pomiary wyników spoza MSSF</w:t>
      </w:r>
    </w:p>
    <w:p w14:paraId="15D2844C" w14:textId="77777777" w:rsidR="00100152" w:rsidRPr="00DE766F" w:rsidRDefault="00100152" w:rsidP="00100152">
      <w:pPr>
        <w:spacing w:after="0" w:line="240" w:lineRule="auto"/>
        <w:jc w:val="left"/>
        <w:rPr>
          <w:b/>
          <w:color w:val="425563"/>
          <w:spacing w:val="0"/>
          <w:sz w:val="28"/>
          <w:szCs w:val="28"/>
          <w:u w:val="single"/>
          <w:lang w:val="pl-PL"/>
        </w:rPr>
      </w:pPr>
    </w:p>
    <w:p w14:paraId="482A2263" w14:textId="77777777" w:rsidR="00100152" w:rsidRPr="00DE766F" w:rsidRDefault="00100152" w:rsidP="00100152">
      <w:pPr>
        <w:suppressAutoHyphens/>
        <w:spacing w:after="0" w:line="240" w:lineRule="auto"/>
        <w:rPr>
          <w:rFonts w:asciiTheme="minorHAnsi" w:hAnsiTheme="minorHAnsi" w:cs="Verdana-Bold"/>
          <w:color w:val="425563"/>
          <w:spacing w:val="0"/>
          <w:lang w:val="pl-PL"/>
        </w:rPr>
      </w:pPr>
      <w:r>
        <w:rPr>
          <w:rFonts w:asciiTheme="minorHAnsi" w:hAnsiTheme="minorHAnsi" w:cs="Verdana-Bold"/>
          <w:color w:val="425563"/>
          <w:lang w:val="pl"/>
        </w:rPr>
        <w:t>W niniejszej informacji prasowej, oprócz danych finansowych opracowanych zgodnie z Międzynarodowymi Standardami Sprawozdawczości Finansowej (MSSF) i pochodzących z naszych sprawozdań finansowych, zawarto również alternatywne pomiary wyników (APM) określone w wytycznych Europejskiego Urzędu Nadzoru Giełd i Papierów Wartościowych (EUNGiPW) z dnia 5 października 2015 r. dotyczących alternatywnych pomiarów wyników (ESMA/2015/1415en) oraz inne wskaźniki spoza MSSF. Wskaźniki finansowe stanowiące APM oraz wskaźniki spoza MSSF obliczono na podstawie danych pochodzących od Grupy Cellnex; te wskaźniki finansowe nie zostały jednak zdefiniowane ani dokładnie opisane w stosownych ramowych założeniach sprawozdawczości finansowej, nie podlegały również audytowi ani weryfikacji przez naszych audytorów.</w:t>
      </w:r>
    </w:p>
    <w:p w14:paraId="13761472" w14:textId="77777777" w:rsidR="00100152" w:rsidRPr="00DE766F" w:rsidRDefault="00100152" w:rsidP="00100152">
      <w:pPr>
        <w:suppressAutoHyphens/>
        <w:spacing w:after="0" w:line="240" w:lineRule="auto"/>
        <w:rPr>
          <w:rFonts w:asciiTheme="minorHAnsi" w:hAnsiTheme="minorHAnsi" w:cs="Verdana-Bold"/>
          <w:color w:val="425563"/>
          <w:spacing w:val="0"/>
          <w:lang w:val="pl-PL"/>
        </w:rPr>
      </w:pPr>
    </w:p>
    <w:p w14:paraId="33FB2325" w14:textId="77777777" w:rsidR="00100152" w:rsidRPr="00DE766F" w:rsidRDefault="00100152" w:rsidP="00100152">
      <w:pPr>
        <w:suppressAutoHyphens/>
        <w:spacing w:after="0" w:line="240" w:lineRule="auto"/>
        <w:rPr>
          <w:rFonts w:asciiTheme="minorHAnsi" w:hAnsiTheme="minorHAnsi" w:cs="Verdana-Bold"/>
          <w:color w:val="425563"/>
          <w:spacing w:val="0"/>
          <w:lang w:val="pl-PL"/>
        </w:rPr>
      </w:pPr>
      <w:r>
        <w:rPr>
          <w:rFonts w:asciiTheme="minorHAnsi" w:hAnsiTheme="minorHAnsi" w:cs="Verdana-Bold"/>
          <w:color w:val="425563"/>
          <w:lang w:val="pl"/>
        </w:rPr>
        <w:t>Ze wskaźników APM i wskaźników spoza MSSF korzystamy do planowania, monitorowania i oceny naszej wydajności. Uważamy wskaźniki APM i wskaźniki spoza MSSF za użyteczne dla naszej kadry kierowniczej i inwestorów przy porównywaniu przeszłych bądź przyszłych wskaźników wyników finansowych, sytuacji finansowej czy przepływów pieniężnych. Jednakże wskaźniki APM i wskaźniki spoza MSSF należy traktować jako uzupełniające, a nie zastępujące wskaźniki MSSF. Ponadto spółki z naszej branży i inne podmioty mogą obliczać wskaźniki APM i wskaźniki spoza MSSF w inny sposób, co czyni je umiarkowanie użytecznymi do celów porównawczych.</w:t>
      </w:r>
    </w:p>
    <w:p w14:paraId="44801217" w14:textId="77777777" w:rsidR="00100152" w:rsidRPr="00DE766F" w:rsidRDefault="00100152" w:rsidP="00100152">
      <w:pPr>
        <w:suppressAutoHyphens/>
        <w:spacing w:after="0" w:line="240" w:lineRule="auto"/>
        <w:rPr>
          <w:rFonts w:asciiTheme="minorHAnsi" w:hAnsiTheme="minorHAnsi" w:cs="Verdana-Bold"/>
          <w:color w:val="425563"/>
          <w:spacing w:val="0"/>
          <w:lang w:val="pl-PL"/>
        </w:rPr>
      </w:pPr>
    </w:p>
    <w:p w14:paraId="0042D96C" w14:textId="77777777" w:rsidR="00100152" w:rsidRPr="00DE766F" w:rsidRDefault="00100152" w:rsidP="00100152">
      <w:pPr>
        <w:suppressAutoHyphens/>
        <w:spacing w:after="0" w:line="240" w:lineRule="auto"/>
        <w:rPr>
          <w:rFonts w:asciiTheme="minorHAnsi" w:hAnsiTheme="minorHAnsi" w:cs="Verdana-Bold"/>
          <w:color w:val="425563"/>
          <w:spacing w:val="0"/>
          <w:lang w:val="pl-PL"/>
        </w:rPr>
      </w:pPr>
      <w:r>
        <w:rPr>
          <w:rFonts w:asciiTheme="minorHAnsi" w:hAnsiTheme="minorHAnsi" w:cs="Verdana-Bold"/>
          <w:color w:val="425563"/>
          <w:lang w:val="pl"/>
        </w:rPr>
        <w:t>Więcej informacji na temat definicji i wyjaśnień odnośnie do stosowania wskaźników APM i wskaźników spoza MSSF można znaleźć w części „Alternatywne pomiary wyników” skonsolidowanego sprawozdania finansowego spółki Cellnex Telecom, S.A. oraz w skonsolidowanym sprawozdaniu zarządu za okres dwunastu miesięcy zakończony w dniu 31 grudnia 2022 r. (sporządzonym zgodnie z międzynarodowym standardem rachunkowości (MSR 34) i opublikowanym w dniu 28 lutego 2023 roku. Ponadto więcej informacji na temat obliczania i uzgadniania wskaźników APM i wskaźników spoza MSSF ze wskaźnikami stosowanymi przez kierownictwo oraz danymi finansowymi za okres 12 miesięcy zakończony w dniu 31 grudnia 2022 r. można znaleźć w pomocniczym pliku Excel opublikowanym w dniu dzisiejszym przez spółkę Cellnex Telecom, S.A.</w:t>
      </w:r>
    </w:p>
    <w:p w14:paraId="1F9BA847" w14:textId="77777777" w:rsidR="00100152" w:rsidRPr="00DE766F" w:rsidRDefault="00100152" w:rsidP="00100152">
      <w:pPr>
        <w:suppressAutoHyphens/>
        <w:spacing w:after="0" w:line="240" w:lineRule="auto"/>
        <w:rPr>
          <w:rFonts w:asciiTheme="minorHAnsi" w:hAnsiTheme="minorHAnsi" w:cs="Verdana-Bold"/>
          <w:color w:val="425563"/>
          <w:spacing w:val="0"/>
          <w:lang w:val="pl-PL"/>
        </w:rPr>
      </w:pPr>
    </w:p>
    <w:p w14:paraId="31936D6F" w14:textId="77777777" w:rsidR="00100152" w:rsidRPr="00DE766F" w:rsidRDefault="00100152" w:rsidP="00100152">
      <w:pPr>
        <w:suppressAutoHyphens/>
        <w:spacing w:after="0" w:line="240" w:lineRule="auto"/>
        <w:rPr>
          <w:rFonts w:asciiTheme="minorHAnsi" w:hAnsiTheme="minorHAnsi" w:cs="Verdana-Bold"/>
          <w:color w:val="425563"/>
          <w:spacing w:val="0"/>
          <w:lang w:val="pl-PL"/>
        </w:rPr>
      </w:pPr>
      <w:r>
        <w:rPr>
          <w:rFonts w:asciiTheme="minorHAnsi" w:hAnsiTheme="minorHAnsi" w:cs="Verdana-Bold"/>
          <w:color w:val="425563"/>
          <w:lang w:val="pl"/>
        </w:rPr>
        <w:t>Wszystkie dokumenty są dostępne w witrynie internetowej spółki Cellnex (</w:t>
      </w:r>
      <w:hyperlink r:id="rId11" w:history="1">
        <w:r>
          <w:rPr>
            <w:rFonts w:asciiTheme="minorHAnsi" w:hAnsiTheme="minorHAnsi" w:cs="Verdana-Bold"/>
            <w:color w:val="0000FF"/>
            <w:u w:val="single"/>
            <w:lang w:val="pl"/>
          </w:rPr>
          <w:t>www.cellnex.com</w:t>
        </w:r>
      </w:hyperlink>
      <w:r>
        <w:rPr>
          <w:rFonts w:asciiTheme="minorHAnsi" w:hAnsiTheme="minorHAnsi" w:cs="Verdana-Bold"/>
          <w:color w:val="425563"/>
          <w:lang w:val="pl"/>
        </w:rPr>
        <w:t>):</w:t>
      </w:r>
    </w:p>
    <w:p w14:paraId="7FDA01AE" w14:textId="77777777" w:rsidR="00100152" w:rsidRPr="00DE766F" w:rsidRDefault="00100152" w:rsidP="00100152">
      <w:pPr>
        <w:suppressAutoHyphens/>
        <w:spacing w:after="0" w:line="240" w:lineRule="auto"/>
        <w:rPr>
          <w:rFonts w:asciiTheme="minorHAnsi" w:hAnsiTheme="minorHAnsi" w:cs="Verdana-Bold"/>
          <w:color w:val="425563"/>
          <w:spacing w:val="0"/>
          <w:lang w:val="pl-PL"/>
        </w:rPr>
      </w:pPr>
    </w:p>
    <w:p w14:paraId="697F5F8D" w14:textId="77777777" w:rsidR="00100152" w:rsidRPr="00100152" w:rsidRDefault="00100152" w:rsidP="00100152">
      <w:pPr>
        <w:numPr>
          <w:ilvl w:val="0"/>
          <w:numId w:val="18"/>
        </w:numPr>
        <w:ind w:left="284" w:hanging="142"/>
        <w:contextualSpacing/>
        <w:jc w:val="left"/>
        <w:rPr>
          <w:rFonts w:asciiTheme="minorHAnsi" w:hAnsiTheme="minorHAnsi" w:cs="Verdana-Bold"/>
          <w:color w:val="425563"/>
          <w:spacing w:val="0"/>
        </w:rPr>
      </w:pPr>
      <w:r>
        <w:rPr>
          <w:rFonts w:asciiTheme="minorHAnsi" w:hAnsiTheme="minorHAnsi" w:cs="Verdana-Bold"/>
          <w:color w:val="425563"/>
          <w:lang w:val="pl"/>
        </w:rPr>
        <w:t xml:space="preserve">Pomocniczy plik Excel: </w:t>
      </w:r>
    </w:p>
    <w:p w14:paraId="5681A16D" w14:textId="77777777" w:rsidR="00100152" w:rsidRPr="00100152" w:rsidRDefault="00C71650" w:rsidP="00100152">
      <w:pPr>
        <w:ind w:left="284"/>
        <w:contextualSpacing/>
        <w:jc w:val="left"/>
        <w:rPr>
          <w:spacing w:val="0"/>
        </w:rPr>
      </w:pPr>
      <w:hyperlink r:id="rId12" w:anchor="shareholders-investors-quarterly-results" w:history="1">
        <w:r w:rsidR="00100152">
          <w:rPr>
            <w:color w:val="0000FF"/>
            <w:u w:val="single"/>
            <w:lang w:val="pl"/>
          </w:rPr>
          <w:t>Informacje finansowe – Cellnex</w:t>
        </w:r>
      </w:hyperlink>
    </w:p>
    <w:p w14:paraId="461AC071" w14:textId="77777777" w:rsidR="00100152" w:rsidRPr="00DE766F" w:rsidRDefault="00100152" w:rsidP="00100152">
      <w:pPr>
        <w:numPr>
          <w:ilvl w:val="0"/>
          <w:numId w:val="18"/>
        </w:numPr>
        <w:suppressAutoHyphens/>
        <w:spacing w:after="120" w:line="240" w:lineRule="auto"/>
        <w:ind w:left="284" w:hanging="142"/>
        <w:contextualSpacing/>
        <w:jc w:val="left"/>
        <w:rPr>
          <w:rFonts w:asciiTheme="minorHAnsi" w:hAnsiTheme="minorHAnsi" w:cs="Verdana-Bold"/>
          <w:color w:val="425563"/>
          <w:spacing w:val="0"/>
          <w:lang w:val="pl-PL"/>
        </w:rPr>
      </w:pPr>
      <w:r>
        <w:rPr>
          <w:rFonts w:asciiTheme="minorHAnsi" w:hAnsiTheme="minorHAnsi" w:cs="Verdana-Bold"/>
          <w:color w:val="425563"/>
          <w:lang w:val="pl"/>
        </w:rPr>
        <w:t>Skonsolidowane sprawozdanie finansowe za rok obrotowy 2022:</w:t>
      </w:r>
    </w:p>
    <w:p w14:paraId="0B5593D5" w14:textId="77777777" w:rsidR="00100152" w:rsidRPr="00100152" w:rsidRDefault="00C71650" w:rsidP="00100152">
      <w:pPr>
        <w:suppressAutoHyphens/>
        <w:spacing w:after="120" w:line="240" w:lineRule="auto"/>
        <w:ind w:left="284"/>
        <w:contextualSpacing/>
        <w:jc w:val="left"/>
        <w:rPr>
          <w:color w:val="425563"/>
          <w:spacing w:val="0"/>
          <w:sz w:val="22"/>
        </w:rPr>
      </w:pPr>
      <w:hyperlink r:id="rId13" w:anchor="shareholders-investors-financial-reports" w:history="1">
        <w:r w:rsidR="00100152">
          <w:rPr>
            <w:color w:val="0000FF"/>
            <w:u w:val="single"/>
            <w:lang w:val="pl"/>
          </w:rPr>
          <w:t>Informacje finansowe – Cellnex</w:t>
        </w:r>
      </w:hyperlink>
    </w:p>
    <w:p w14:paraId="6D15119E" w14:textId="77777777" w:rsidR="00100152" w:rsidRPr="00100152" w:rsidRDefault="00100152" w:rsidP="00100152">
      <w:pPr>
        <w:rPr>
          <w:spacing w:val="0"/>
        </w:rPr>
      </w:pPr>
    </w:p>
    <w:tbl>
      <w:tblPr>
        <w:tblStyle w:val="TableNormal1"/>
        <w:tblpPr w:leftFromText="141" w:rightFromText="141" w:vertAnchor="page" w:horzAnchor="margin" w:tblpY="13186"/>
        <w:tblW w:w="9327"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32"/>
        <w:gridCol w:w="1610"/>
        <w:gridCol w:w="2685"/>
      </w:tblGrid>
      <w:tr w:rsidR="00100152" w:rsidRPr="00DE766F" w14:paraId="49FC8D44" w14:textId="77777777" w:rsidTr="00104C51">
        <w:trPr>
          <w:trHeight w:val="454"/>
        </w:trPr>
        <w:tc>
          <w:tcPr>
            <w:tcW w:w="5032" w:type="dxa"/>
            <w:tcBorders>
              <w:top w:val="single" w:sz="8" w:space="0" w:color="549A0C"/>
              <w:left w:val="nil"/>
              <w:bottom w:val="nil"/>
              <w:right w:val="nil"/>
            </w:tcBorders>
            <w:shd w:val="clear" w:color="auto" w:fill="auto"/>
            <w:tcMar>
              <w:top w:w="80" w:type="dxa"/>
              <w:left w:w="80" w:type="dxa"/>
              <w:bottom w:w="80" w:type="dxa"/>
              <w:right w:w="80" w:type="dxa"/>
            </w:tcMar>
            <w:vAlign w:val="center"/>
            <w:hideMark/>
          </w:tcPr>
          <w:p w14:paraId="5C51BFED" w14:textId="77777777" w:rsidR="00100152" w:rsidRPr="00DE766F" w:rsidRDefault="00100152" w:rsidP="00104C51">
            <w:pPr>
              <w:pStyle w:val="Nagwek9"/>
              <w:framePr w:hSpace="0" w:wrap="auto" w:vAnchor="margin" w:yAlign="inline"/>
              <w:jc w:val="both"/>
              <w:outlineLvl w:val="8"/>
              <w:rPr>
                <w:rStyle w:val="Numerstrony"/>
                <w:rFonts w:ascii="Calibri" w:eastAsia="Calibri" w:hAnsi="Calibri" w:cs="Calibri"/>
                <w:b/>
                <w:bCs/>
                <w:color w:val="003652"/>
                <w:sz w:val="16"/>
                <w:szCs w:val="16"/>
                <w:bdr w:val="none" w:sz="0" w:space="0" w:color="auto" w:frame="1"/>
                <w:lang w:val="pl-PL"/>
              </w:rPr>
            </w:pPr>
            <w:r>
              <w:rPr>
                <w:rStyle w:val="Numerstrony"/>
                <w:rFonts w:ascii="Calibri" w:eastAsia="Calibri" w:hAnsi="Calibri" w:cs="Calibri"/>
                <w:b/>
                <w:bCs/>
                <w:color w:val="003652"/>
                <w:sz w:val="16"/>
                <w:szCs w:val="16"/>
                <w:bdr w:val="none" w:sz="0" w:space="0" w:color="auto" w:frame="1"/>
                <w:lang w:val="pl"/>
              </w:rPr>
              <w:t>Dział Spraw Korporacyjnych</w:t>
            </w:r>
          </w:p>
          <w:p w14:paraId="473CC5BB" w14:textId="77777777" w:rsidR="00100152" w:rsidRPr="00DE766F" w:rsidRDefault="00100152" w:rsidP="00104C51">
            <w:pPr>
              <w:pStyle w:val="Cos"/>
              <w:rPr>
                <w:rStyle w:val="Numerstrony"/>
                <w:bCs/>
                <w:color w:val="003652"/>
                <w:spacing w:val="0"/>
                <w:sz w:val="16"/>
                <w:szCs w:val="16"/>
                <w:bdr w:val="none" w:sz="0" w:space="0" w:color="auto" w:frame="1"/>
                <w:lang w:val="pl-PL"/>
              </w:rPr>
            </w:pPr>
            <w:r>
              <w:rPr>
                <w:rStyle w:val="Numerstrony"/>
                <w:color w:val="003652"/>
                <w:sz w:val="16"/>
                <w:szCs w:val="16"/>
                <w:bdr w:val="none" w:sz="0" w:space="0" w:color="auto" w:frame="1"/>
                <w:lang w:val="pl"/>
              </w:rPr>
              <w:t>Dział Komunikacji Korporacyjnej</w:t>
            </w:r>
          </w:p>
        </w:tc>
        <w:tc>
          <w:tcPr>
            <w:tcW w:w="1610" w:type="dxa"/>
            <w:tcBorders>
              <w:top w:val="single" w:sz="8" w:space="0" w:color="549A0C"/>
              <w:left w:val="nil"/>
              <w:bottom w:val="nil"/>
              <w:right w:val="nil"/>
            </w:tcBorders>
            <w:shd w:val="clear" w:color="auto" w:fill="auto"/>
            <w:tcMar>
              <w:top w:w="80" w:type="dxa"/>
              <w:left w:w="80" w:type="dxa"/>
              <w:bottom w:w="80" w:type="dxa"/>
              <w:right w:w="80" w:type="dxa"/>
            </w:tcMar>
            <w:vAlign w:val="center"/>
            <w:hideMark/>
          </w:tcPr>
          <w:p w14:paraId="017A8096" w14:textId="77777777" w:rsidR="00100152" w:rsidRPr="00DE766F" w:rsidRDefault="00100152" w:rsidP="00104C51">
            <w:pPr>
              <w:pStyle w:val="Nagwek9"/>
              <w:framePr w:hSpace="0" w:wrap="auto" w:vAnchor="margin" w:yAlign="inline"/>
              <w:spacing w:line="500" w:lineRule="exact"/>
              <w:jc w:val="both"/>
              <w:outlineLvl w:val="8"/>
              <w:rPr>
                <w:bdr w:val="none" w:sz="0" w:space="0" w:color="auto" w:frame="1"/>
                <w:lang w:val="pl-PL"/>
              </w:rPr>
            </w:pPr>
          </w:p>
        </w:tc>
        <w:tc>
          <w:tcPr>
            <w:tcW w:w="2685" w:type="dxa"/>
            <w:tcBorders>
              <w:top w:val="single" w:sz="8" w:space="0" w:color="549A0C"/>
              <w:left w:val="nil"/>
              <w:bottom w:val="nil"/>
              <w:right w:val="nil"/>
            </w:tcBorders>
            <w:shd w:val="clear" w:color="auto" w:fill="auto"/>
            <w:tcMar>
              <w:top w:w="80" w:type="dxa"/>
              <w:left w:w="80" w:type="dxa"/>
              <w:bottom w:w="80" w:type="dxa"/>
              <w:right w:w="80" w:type="dxa"/>
            </w:tcMar>
            <w:vAlign w:val="center"/>
          </w:tcPr>
          <w:p w14:paraId="53A3B250" w14:textId="77777777" w:rsidR="00100152" w:rsidRPr="00DE766F" w:rsidRDefault="00100152" w:rsidP="00104C51">
            <w:pPr>
              <w:pStyle w:val="Nagwek9"/>
              <w:framePr w:hSpace="0" w:wrap="auto" w:vAnchor="margin" w:yAlign="inline"/>
              <w:jc w:val="both"/>
              <w:outlineLvl w:val="8"/>
              <w:rPr>
                <w:bdr w:val="none" w:sz="0" w:space="0" w:color="auto" w:frame="1"/>
                <w:lang w:val="pl-PL"/>
              </w:rPr>
            </w:pPr>
            <w:r>
              <w:rPr>
                <w:rFonts w:ascii="Calibri" w:eastAsia="Times New Roman" w:hAnsi="Calibri" w:cs="Calibri"/>
                <w:b/>
                <w:bCs/>
                <w:noProof/>
                <w:color w:val="51626F"/>
                <w:sz w:val="24"/>
                <w:szCs w:val="24"/>
                <w:lang w:val="pl"/>
              </w:rPr>
              <w:drawing>
                <wp:anchor distT="0" distB="0" distL="114300" distR="114300" simplePos="0" relativeHeight="251659264" behindDoc="0" locked="0" layoutInCell="1" allowOverlap="1" wp14:anchorId="68CC951E" wp14:editId="0B819DC8">
                  <wp:simplePos x="0" y="0"/>
                  <wp:positionH relativeFrom="column">
                    <wp:posOffset>-35560</wp:posOffset>
                  </wp:positionH>
                  <wp:positionV relativeFrom="paragraph">
                    <wp:posOffset>-236220</wp:posOffset>
                  </wp:positionV>
                  <wp:extent cx="266700" cy="266700"/>
                  <wp:effectExtent l="0" t="0" r="0" b="0"/>
                  <wp:wrapSquare wrapText="bothSides"/>
                  <wp:docPr id="4" name="Imagen 4" descr="Twitter">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11294" name="Imagen 4" descr="Twitter">
                            <a:hlinkClick r:id="rId14" tgtFrame="_blank"/>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noProof/>
                <w:color w:val="51626F"/>
                <w:sz w:val="24"/>
                <w:szCs w:val="24"/>
                <w:lang w:val="pl"/>
              </w:rPr>
              <w:drawing>
                <wp:anchor distT="0" distB="0" distL="114300" distR="114300" simplePos="0" relativeHeight="251660288" behindDoc="0" locked="0" layoutInCell="1" allowOverlap="1" wp14:anchorId="068EBB21" wp14:editId="2CADA0AE">
                  <wp:simplePos x="0" y="0"/>
                  <wp:positionH relativeFrom="column">
                    <wp:posOffset>993140</wp:posOffset>
                  </wp:positionH>
                  <wp:positionV relativeFrom="paragraph">
                    <wp:posOffset>-236220</wp:posOffset>
                  </wp:positionV>
                  <wp:extent cx="266700" cy="266700"/>
                  <wp:effectExtent l="0" t="0" r="0" b="0"/>
                  <wp:wrapSquare wrapText="bothSides"/>
                  <wp:docPr id="3" name="Imagen 3" descr="LinkedIn">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53533" name="Imagen 3" descr="Linkedin">
                            <a:hlinkClick r:id="rId16" tgtFrame="_blank"/>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noProof/>
                <w:color w:val="51626F"/>
                <w:sz w:val="24"/>
                <w:szCs w:val="24"/>
                <w:lang w:val="pl"/>
              </w:rPr>
              <w:drawing>
                <wp:anchor distT="0" distB="0" distL="114300" distR="114300" simplePos="0" relativeHeight="251661312" behindDoc="0" locked="0" layoutInCell="1" allowOverlap="1" wp14:anchorId="1BF9F5D3" wp14:editId="5F58657C">
                  <wp:simplePos x="0" y="0"/>
                  <wp:positionH relativeFrom="column">
                    <wp:posOffset>650240</wp:posOffset>
                  </wp:positionH>
                  <wp:positionV relativeFrom="paragraph">
                    <wp:posOffset>-236220</wp:posOffset>
                  </wp:positionV>
                  <wp:extent cx="266700" cy="266700"/>
                  <wp:effectExtent l="0" t="0" r="0" b="0"/>
                  <wp:wrapSquare wrapText="bothSides"/>
                  <wp:docPr id="13" name="Imagen 13" descr="YouTube">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35912" name="Imagen 2" descr="YouTube">
                            <a:hlinkClick r:id="rId19" tgtFrame="_blank"/>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noProof/>
                <w:color w:val="51626F"/>
                <w:sz w:val="24"/>
                <w:szCs w:val="24"/>
                <w:lang w:val="pl"/>
              </w:rPr>
              <w:drawing>
                <wp:anchor distT="0" distB="0" distL="114300" distR="114300" simplePos="0" relativeHeight="251662336" behindDoc="0" locked="0" layoutInCell="1" allowOverlap="1" wp14:anchorId="5D3A2AF9" wp14:editId="1B8F8600">
                  <wp:simplePos x="0" y="0"/>
                  <wp:positionH relativeFrom="column">
                    <wp:posOffset>278765</wp:posOffset>
                  </wp:positionH>
                  <wp:positionV relativeFrom="paragraph">
                    <wp:posOffset>-236220</wp:posOffset>
                  </wp:positionV>
                  <wp:extent cx="266700" cy="266700"/>
                  <wp:effectExtent l="0" t="0" r="0" b="0"/>
                  <wp:wrapSquare wrapText="bothSides"/>
                  <wp:docPr id="15" name="Imagen 15" descr="Flick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0812" name="Imagen 5" descr="Flickr">
                            <a:hlinkClick r:id="rId22" tgtFrame="_blank"/>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00152" w:rsidRPr="00DE766F" w14:paraId="248E767D" w14:textId="77777777" w:rsidTr="00104C51">
        <w:trPr>
          <w:trHeight w:val="446"/>
        </w:trPr>
        <w:tc>
          <w:tcPr>
            <w:tcW w:w="5032" w:type="dxa"/>
            <w:tcBorders>
              <w:top w:val="nil"/>
              <w:left w:val="nil"/>
              <w:bottom w:val="nil"/>
              <w:right w:val="nil"/>
            </w:tcBorders>
            <w:shd w:val="clear" w:color="auto" w:fill="auto"/>
            <w:hideMark/>
          </w:tcPr>
          <w:p w14:paraId="78C445B6" w14:textId="77777777" w:rsidR="00100152" w:rsidRPr="00DE766F" w:rsidRDefault="00C71650" w:rsidP="00104C51">
            <w:pPr>
              <w:keepNext/>
              <w:keepLines/>
              <w:suppressAutoHyphens/>
              <w:spacing w:after="0" w:line="200" w:lineRule="exact"/>
              <w:outlineLvl w:val="8"/>
              <w:rPr>
                <w:rFonts w:cstheme="minorHAnsi"/>
                <w:b/>
                <w:bCs/>
                <w:color w:val="64A70B"/>
                <w:spacing w:val="0"/>
                <w:sz w:val="22"/>
                <w:u w:val="single"/>
                <w:lang w:val="pl-PL"/>
              </w:rPr>
            </w:pPr>
            <w:hyperlink r:id="rId24" w:history="1">
              <w:r w:rsidR="00100152">
                <w:rPr>
                  <w:rStyle w:val="Hipercze"/>
                  <w:rFonts w:cstheme="minorHAnsi"/>
                  <w:b/>
                  <w:bCs/>
                  <w:color w:val="64A70B"/>
                  <w:sz w:val="22"/>
                  <w:lang w:val="pl"/>
                </w:rPr>
                <w:t>communication@cellnextelecom.com</w:t>
              </w:r>
            </w:hyperlink>
            <w:r w:rsidR="00100152">
              <w:rPr>
                <w:rFonts w:cstheme="minorHAnsi"/>
                <w:b/>
                <w:bCs/>
                <w:color w:val="64A70B"/>
                <w:sz w:val="22"/>
                <w:u w:val="single"/>
                <w:lang w:val="pl"/>
              </w:rPr>
              <w:t xml:space="preserve"> </w:t>
            </w:r>
          </w:p>
          <w:p w14:paraId="1CB3596C" w14:textId="77777777" w:rsidR="00100152" w:rsidRPr="00DE766F" w:rsidRDefault="00100152" w:rsidP="00104C51">
            <w:pPr>
              <w:keepNext/>
              <w:keepLines/>
              <w:suppressAutoHyphens/>
              <w:spacing w:after="0" w:line="200" w:lineRule="exact"/>
              <w:outlineLvl w:val="8"/>
              <w:rPr>
                <w:rFonts w:asciiTheme="minorHAnsi" w:eastAsia="Calibri" w:hAnsiTheme="minorHAnsi" w:cstheme="minorHAnsi"/>
                <w:spacing w:val="0"/>
                <w:bdr w:val="none" w:sz="0" w:space="0" w:color="auto" w:frame="1"/>
                <w:lang w:val="pl-PL"/>
              </w:rPr>
            </w:pPr>
          </w:p>
          <w:p w14:paraId="277A32EB" w14:textId="77777777" w:rsidR="00100152" w:rsidRPr="00DE766F" w:rsidRDefault="00100152" w:rsidP="00104C51">
            <w:pPr>
              <w:keepNext/>
              <w:keepLines/>
              <w:suppressAutoHyphens/>
              <w:spacing w:after="0" w:line="200" w:lineRule="exact"/>
              <w:outlineLvl w:val="8"/>
              <w:rPr>
                <w:rFonts w:asciiTheme="minorHAnsi" w:eastAsia="Calibri" w:hAnsiTheme="minorHAnsi" w:cstheme="minorHAnsi"/>
                <w:spacing w:val="0"/>
                <w:bdr w:val="none" w:sz="0" w:space="0" w:color="auto" w:frame="1"/>
                <w:lang w:val="pl-PL"/>
              </w:rPr>
            </w:pPr>
          </w:p>
          <w:p w14:paraId="16001B12" w14:textId="77777777" w:rsidR="00100152" w:rsidRPr="00DE766F" w:rsidRDefault="00100152" w:rsidP="00104C51">
            <w:pPr>
              <w:keepNext/>
              <w:keepLines/>
              <w:suppressAutoHyphens/>
              <w:spacing w:after="0" w:line="200" w:lineRule="exact"/>
              <w:outlineLvl w:val="8"/>
              <w:rPr>
                <w:rFonts w:asciiTheme="minorHAnsi" w:eastAsia="Calibri" w:hAnsiTheme="minorHAnsi" w:cstheme="minorHAnsi"/>
                <w:spacing w:val="0"/>
                <w:bdr w:val="none" w:sz="0" w:space="0" w:color="auto" w:frame="1"/>
                <w:lang w:val="pl-PL"/>
              </w:rPr>
            </w:pPr>
            <w:r>
              <w:rPr>
                <w:rFonts w:asciiTheme="minorHAnsi" w:eastAsia="Calibri" w:hAnsiTheme="minorHAnsi" w:cstheme="minorHAnsi"/>
                <w:bdr w:val="none" w:sz="0" w:space="0" w:color="auto" w:frame="1"/>
                <w:lang w:val="pl"/>
              </w:rPr>
              <w:t>Tel. +34 935 021 387</w:t>
            </w:r>
          </w:p>
          <w:p w14:paraId="1D1B2FC6" w14:textId="77777777" w:rsidR="00100152" w:rsidRPr="00DE766F" w:rsidRDefault="00C71650" w:rsidP="00104C51">
            <w:pPr>
              <w:rPr>
                <w:rFonts w:ascii="Verdana" w:eastAsia="MS Gothic" w:hAnsi="Verdana"/>
                <w:color w:val="5A6E74"/>
                <w:spacing w:val="0"/>
                <w:sz w:val="16"/>
                <w:szCs w:val="16"/>
                <w:lang w:val="pl-PL"/>
              </w:rPr>
            </w:pPr>
            <w:hyperlink r:id="rId25" w:history="1">
              <w:r w:rsidR="00100152">
                <w:rPr>
                  <w:rStyle w:val="Hipercze"/>
                  <w:sz w:val="16"/>
                  <w:szCs w:val="16"/>
                  <w:lang w:val="pl"/>
                </w:rPr>
                <w:t>Aktualności – Cellnex</w:t>
              </w:r>
            </w:hyperlink>
          </w:p>
        </w:tc>
        <w:tc>
          <w:tcPr>
            <w:tcW w:w="1610" w:type="dxa"/>
            <w:tcBorders>
              <w:top w:val="nil"/>
              <w:left w:val="nil"/>
              <w:bottom w:val="nil"/>
              <w:right w:val="nil"/>
            </w:tcBorders>
            <w:shd w:val="clear" w:color="auto" w:fill="auto"/>
            <w:tcMar>
              <w:top w:w="80" w:type="dxa"/>
              <w:left w:w="80" w:type="dxa"/>
              <w:bottom w:w="80" w:type="dxa"/>
              <w:right w:w="80" w:type="dxa"/>
            </w:tcMar>
            <w:vAlign w:val="center"/>
            <w:hideMark/>
          </w:tcPr>
          <w:p w14:paraId="3704752E" w14:textId="77777777" w:rsidR="00100152" w:rsidRPr="00DE766F" w:rsidRDefault="00100152" w:rsidP="00104C51">
            <w:pPr>
              <w:pStyle w:val="Nagwek9"/>
              <w:framePr w:hSpace="0" w:wrap="auto" w:vAnchor="margin" w:yAlign="inline"/>
              <w:spacing w:line="500" w:lineRule="exact"/>
              <w:jc w:val="both"/>
              <w:outlineLvl w:val="8"/>
              <w:rPr>
                <w:bdr w:val="none" w:sz="0" w:space="0" w:color="auto" w:frame="1"/>
                <w:lang w:val="pl-PL"/>
              </w:rPr>
            </w:pPr>
          </w:p>
        </w:tc>
        <w:tc>
          <w:tcPr>
            <w:tcW w:w="2685" w:type="dxa"/>
            <w:tcBorders>
              <w:top w:val="nil"/>
              <w:left w:val="nil"/>
              <w:bottom w:val="nil"/>
              <w:right w:val="nil"/>
            </w:tcBorders>
            <w:shd w:val="clear" w:color="auto" w:fill="auto"/>
            <w:tcMar>
              <w:top w:w="80" w:type="dxa"/>
              <w:left w:w="80" w:type="dxa"/>
              <w:bottom w:w="80" w:type="dxa"/>
              <w:right w:w="80" w:type="dxa"/>
            </w:tcMar>
            <w:vAlign w:val="center"/>
          </w:tcPr>
          <w:p w14:paraId="41102CAB" w14:textId="77777777" w:rsidR="00100152" w:rsidRPr="00DE766F" w:rsidRDefault="00100152" w:rsidP="00104C51">
            <w:pPr>
              <w:pStyle w:val="Nagwek9"/>
              <w:framePr w:hSpace="0" w:wrap="auto" w:vAnchor="margin" w:yAlign="inline"/>
              <w:jc w:val="both"/>
              <w:outlineLvl w:val="8"/>
              <w:rPr>
                <w:bdr w:val="none" w:sz="0" w:space="0" w:color="auto" w:frame="1"/>
                <w:lang w:val="pl-PL"/>
              </w:rPr>
            </w:pPr>
          </w:p>
        </w:tc>
      </w:tr>
    </w:tbl>
    <w:p w14:paraId="4C412F50" w14:textId="77777777" w:rsidR="006C6687" w:rsidRPr="00DE766F" w:rsidRDefault="006C6687" w:rsidP="00100152">
      <w:pPr>
        <w:spacing w:after="0" w:line="240" w:lineRule="auto"/>
        <w:rPr>
          <w:color w:val="425563"/>
          <w:spacing w:val="0"/>
          <w:sz w:val="22"/>
          <w:szCs w:val="22"/>
          <w:lang w:val="pl-PL"/>
        </w:rPr>
      </w:pPr>
    </w:p>
    <w:sectPr w:rsidR="006C6687" w:rsidRPr="00DE766F" w:rsidSect="00B923F0">
      <w:headerReference w:type="even" r:id="rId26"/>
      <w:headerReference w:type="default" r:id="rId27"/>
      <w:footerReference w:type="even" r:id="rId28"/>
      <w:footerReference w:type="default" r:id="rId29"/>
      <w:headerReference w:type="first" r:id="rId30"/>
      <w:footerReference w:type="first" r:id="rId31"/>
      <w:pgSz w:w="11900" w:h="16840"/>
      <w:pgMar w:top="2268" w:right="985" w:bottom="1418" w:left="158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9562" w14:textId="77777777" w:rsidR="00721B0F" w:rsidRDefault="00721B0F">
      <w:pPr>
        <w:spacing w:after="0" w:line="240" w:lineRule="auto"/>
      </w:pPr>
      <w:r>
        <w:separator/>
      </w:r>
    </w:p>
  </w:endnote>
  <w:endnote w:type="continuationSeparator" w:id="0">
    <w:p w14:paraId="4CF8BEBB" w14:textId="77777777" w:rsidR="00721B0F" w:rsidRDefault="0072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liss-LightItalic">
    <w:altName w:val="Calibri"/>
    <w:charset w:val="4D"/>
    <w:family w:val="auto"/>
    <w:pitch w:val="default"/>
    <w:sig w:usb0="00000003" w:usb1="00000000" w:usb2="00000000" w:usb3="00000000" w:csb0="00000001" w:csb1="00000000"/>
  </w:font>
  <w:font w:name="Times-Roman">
    <w:altName w:val="Times New Roman"/>
    <w:charset w:val="4D"/>
    <w:family w:val="auto"/>
    <w:pitch w:val="default"/>
    <w:sig w:usb0="00000003" w:usb1="00000000" w:usb2="00000000" w:usb3="00000000" w:csb0="00000001" w:csb1="00000000"/>
  </w:font>
  <w:font w:name="Verdana-Bold">
    <w:altName w:val="Times New Roman"/>
    <w:charset w:val="00"/>
    <w:family w:val="auto"/>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AEC4" w14:textId="77777777" w:rsidR="00447AFD" w:rsidRPr="00100152" w:rsidRDefault="00E450B0" w:rsidP="00100152">
    <w:pPr>
      <w:pStyle w:val="Stopka"/>
      <w:rPr>
        <w:rStyle w:val="Numerstrony"/>
        <w:spacing w:val="0"/>
      </w:rPr>
    </w:pPr>
    <w:r>
      <w:rPr>
        <w:rStyle w:val="Numerstrony"/>
        <w:lang w:val="pl"/>
      </w:rPr>
      <w:fldChar w:fldCharType="begin"/>
    </w:r>
    <w:r>
      <w:rPr>
        <w:rStyle w:val="Numerstrony"/>
        <w:lang w:val="pl"/>
      </w:rPr>
      <w:instrText xml:space="preserve">PAGE  </w:instrText>
    </w:r>
    <w:r w:rsidR="00C71650">
      <w:rPr>
        <w:rStyle w:val="Numerstrony"/>
        <w:lang w:val="pl"/>
      </w:rPr>
      <w:fldChar w:fldCharType="separate"/>
    </w:r>
    <w:r>
      <w:rPr>
        <w:rStyle w:val="Numerstrony"/>
        <w:lang w:val="pl"/>
      </w:rPr>
      <w:fldChar w:fldCharType="end"/>
    </w:r>
  </w:p>
  <w:p w14:paraId="68C075EF" w14:textId="77777777" w:rsidR="00447AFD" w:rsidRPr="00100152" w:rsidRDefault="00447AFD" w:rsidP="00100152">
    <w:pPr>
      <w:pStyle w:val="Stopka"/>
      <w:rPr>
        <w:spacing w:val="0"/>
      </w:rPr>
    </w:pPr>
  </w:p>
  <w:p w14:paraId="3A793EC5" w14:textId="77777777" w:rsidR="00447AFD" w:rsidRPr="00100152" w:rsidRDefault="00447AFD" w:rsidP="00100152">
    <w:pPr>
      <w:rPr>
        <w:spacing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D177" w14:textId="77777777" w:rsidR="00447AFD" w:rsidRPr="00100152" w:rsidRDefault="00E450B0" w:rsidP="00100152">
    <w:pPr>
      <w:tabs>
        <w:tab w:val="right" w:pos="9400"/>
      </w:tabs>
      <w:spacing w:line="240" w:lineRule="auto"/>
      <w:jc w:val="right"/>
      <w:rPr>
        <w:rFonts w:ascii="Times New Roman" w:hAnsi="Times New Roman" w:cs="Times New Roman"/>
        <w:spacing w:val="0"/>
        <w:sz w:val="15"/>
      </w:rPr>
    </w:pPr>
    <w:r>
      <w:rPr>
        <w:rFonts w:ascii="Times New Roman" w:hAnsi="Times New Roman" w:cs="Times New Roman"/>
        <w:sz w:val="15"/>
        <w:lang w:val="pl"/>
      </w:rPr>
      <w:fldChar w:fldCharType="begin"/>
    </w:r>
    <w:r>
      <w:rPr>
        <w:rFonts w:ascii="Times New Roman" w:hAnsi="Times New Roman" w:cs="Times New Roman"/>
        <w:sz w:val="15"/>
        <w:lang w:val="pl"/>
      </w:rPr>
      <w:instrText>PAGE   \* MERGEFORMAT</w:instrText>
    </w:r>
    <w:r>
      <w:rPr>
        <w:rFonts w:ascii="Times New Roman" w:hAnsi="Times New Roman" w:cs="Times New Roman"/>
        <w:sz w:val="15"/>
        <w:lang w:val="pl"/>
      </w:rPr>
      <w:fldChar w:fldCharType="separate"/>
    </w:r>
    <w:r>
      <w:rPr>
        <w:rFonts w:ascii="Times New Roman" w:hAnsi="Times New Roman" w:cs="Times New Roman"/>
        <w:sz w:val="15"/>
        <w:lang w:val="pl"/>
      </w:rPr>
      <w:t>1</w:t>
    </w:r>
    <w:r>
      <w:rPr>
        <w:rFonts w:ascii="Times New Roman" w:hAnsi="Times New Roman" w:cs="Times New Roman"/>
        <w:sz w:val="15"/>
        <w:lang w:val="p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BCE" w14:textId="77777777" w:rsidR="00447AFD" w:rsidRPr="00B9470E" w:rsidRDefault="00447AFD" w:rsidP="00B9470E">
    <w:pPr>
      <w:tabs>
        <w:tab w:val="right" w:pos="9400"/>
      </w:tabs>
      <w:spacing w:line="240" w:lineRule="auto"/>
      <w:rPr>
        <w:rFonts w:ascii="Times New Roman" w:hAnsi="Times New Roman" w:cs="Times New Roman"/>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D6DA" w14:textId="77777777" w:rsidR="00721B0F" w:rsidRPr="00100152" w:rsidRDefault="00721B0F" w:rsidP="00100152">
      <w:pPr>
        <w:rPr>
          <w:spacing w:val="0"/>
        </w:rPr>
      </w:pPr>
      <w:r>
        <w:separator/>
      </w:r>
    </w:p>
    <w:p w14:paraId="23C14F79" w14:textId="77777777" w:rsidR="00721B0F" w:rsidRPr="00100152" w:rsidRDefault="00721B0F" w:rsidP="00100152">
      <w:pPr>
        <w:rPr>
          <w:spacing w:val="0"/>
        </w:rPr>
      </w:pPr>
    </w:p>
  </w:footnote>
  <w:footnote w:type="continuationSeparator" w:id="0">
    <w:p w14:paraId="496F7DCA" w14:textId="77777777" w:rsidR="00721B0F" w:rsidRPr="00100152" w:rsidRDefault="00721B0F" w:rsidP="00100152">
      <w:pPr>
        <w:rPr>
          <w:spacing w:val="0"/>
        </w:rPr>
      </w:pPr>
      <w:r>
        <w:continuationSeparator/>
      </w:r>
    </w:p>
    <w:p w14:paraId="5539946F" w14:textId="77777777" w:rsidR="00721B0F" w:rsidRPr="00100152" w:rsidRDefault="00721B0F" w:rsidP="00100152">
      <w:pPr>
        <w:rPr>
          <w:spacing w:val="0"/>
        </w:rPr>
      </w:pPr>
    </w:p>
  </w:footnote>
  <w:footnote w:type="continuationNotice" w:id="1">
    <w:p w14:paraId="2FEF02CF" w14:textId="77777777" w:rsidR="00721B0F" w:rsidRDefault="00721B0F">
      <w:pPr>
        <w:spacing w:after="0" w:line="240" w:lineRule="auto"/>
      </w:pPr>
    </w:p>
  </w:footnote>
  <w:footnote w:id="2">
    <w:p w14:paraId="6C1464EC" w14:textId="77777777" w:rsidR="00100152" w:rsidRPr="00DE766F" w:rsidRDefault="00100152" w:rsidP="00100152">
      <w:pPr>
        <w:pStyle w:val="Tekstprzypisudolnego"/>
        <w:rPr>
          <w:color w:val="D0CECE" w:themeColor="background2" w:themeShade="E6"/>
          <w:sz w:val="14"/>
          <w:szCs w:val="16"/>
          <w:lang w:val="pl-PL"/>
        </w:rPr>
      </w:pPr>
      <w:r>
        <w:rPr>
          <w:rStyle w:val="Odwoanieprzypisudolnego"/>
          <w:color w:val="D0CECE" w:themeColor="background2" w:themeShade="E6"/>
          <w:sz w:val="16"/>
          <w:szCs w:val="16"/>
          <w:lang w:val="pl"/>
        </w:rPr>
        <w:footnoteRef/>
      </w:r>
      <w:r>
        <w:rPr>
          <w:color w:val="D0CECE" w:themeColor="background2" w:themeShade="E6"/>
          <w:sz w:val="16"/>
          <w:szCs w:val="16"/>
          <w:lang w:val="pl"/>
        </w:rPr>
        <w:t xml:space="preserve"> </w:t>
      </w:r>
      <w:r>
        <w:rPr>
          <w:color w:val="D0CECE" w:themeColor="background2" w:themeShade="E6"/>
          <w:sz w:val="14"/>
          <w:szCs w:val="16"/>
          <w:lang w:val="pl"/>
        </w:rPr>
        <w:t>Dokument Excel z odnośnymi danymi jest dostępny na stronie www.cellnex.com.</w:t>
      </w:r>
    </w:p>
  </w:footnote>
  <w:footnote w:id="3">
    <w:p w14:paraId="6570910B" w14:textId="77777777" w:rsidR="00100152" w:rsidRPr="00DE766F" w:rsidRDefault="00100152" w:rsidP="00100152">
      <w:pPr>
        <w:pStyle w:val="Tekstprzypisudolnego"/>
        <w:ind w:left="142" w:hanging="142"/>
        <w:rPr>
          <w:color w:val="D0CECE" w:themeColor="background2" w:themeShade="E6"/>
          <w:sz w:val="14"/>
          <w:szCs w:val="14"/>
          <w:lang w:val="pl-PL"/>
        </w:rPr>
      </w:pPr>
      <w:r>
        <w:rPr>
          <w:rStyle w:val="Odwoanieprzypisudolnego"/>
          <w:color w:val="D0CECE" w:themeColor="background2" w:themeShade="E6"/>
          <w:sz w:val="14"/>
          <w:szCs w:val="14"/>
          <w:lang w:val="pl"/>
        </w:rPr>
        <w:footnoteRef/>
      </w:r>
      <w:r>
        <w:rPr>
          <w:color w:val="D0CECE" w:themeColor="background2" w:themeShade="E6"/>
          <w:sz w:val="14"/>
          <w:szCs w:val="14"/>
          <w:lang w:val="pl"/>
        </w:rPr>
        <w:t xml:space="preserve"> Odpowiada zyskowi z działalności operacyjnej pomniejszonemu o zaliczki dla klientów. Z wykorzystaniem tej samej metodyki co w odniesieniu do sześciomiesięcznego okresu zakończonego 30 czerwca 2022 r.</w:t>
      </w:r>
    </w:p>
  </w:footnote>
  <w:footnote w:id="4">
    <w:p w14:paraId="2A792EA3" w14:textId="77777777" w:rsidR="00100152" w:rsidRPr="00DE766F" w:rsidRDefault="00100152" w:rsidP="00100152">
      <w:pPr>
        <w:pStyle w:val="Tekstprzypisudolnego"/>
        <w:rPr>
          <w:color w:val="D0CECE" w:themeColor="background2" w:themeShade="E6"/>
          <w:sz w:val="14"/>
          <w:szCs w:val="14"/>
          <w:lang w:val="pl-PL"/>
        </w:rPr>
      </w:pPr>
      <w:r>
        <w:rPr>
          <w:rStyle w:val="Odwoanieprzypisudolnego"/>
          <w:color w:val="D0CECE" w:themeColor="background2" w:themeShade="E6"/>
          <w:sz w:val="14"/>
          <w:szCs w:val="14"/>
          <w:lang w:val="pl"/>
        </w:rPr>
        <w:footnoteRef/>
      </w:r>
      <w:r>
        <w:rPr>
          <w:color w:val="D0CECE" w:themeColor="background2" w:themeShade="E6"/>
          <w:sz w:val="14"/>
          <w:szCs w:val="14"/>
          <w:lang w:val="pl"/>
        </w:rPr>
        <w:t xml:space="preserve"> Z wyłączeniem zobowiązań leasingowych.</w:t>
      </w:r>
    </w:p>
  </w:footnote>
  <w:footnote w:id="5">
    <w:p w14:paraId="05FEDC50" w14:textId="77777777" w:rsidR="00100152" w:rsidRPr="00DE766F" w:rsidRDefault="00100152" w:rsidP="00100152">
      <w:pPr>
        <w:pStyle w:val="Tekstprzypisudolnego"/>
        <w:jc w:val="both"/>
        <w:rPr>
          <w:color w:val="D0CECE" w:themeColor="background2" w:themeShade="E6"/>
          <w:sz w:val="14"/>
          <w:lang w:val="pl-PL"/>
        </w:rPr>
      </w:pPr>
      <w:r>
        <w:rPr>
          <w:rStyle w:val="Odwoanieprzypisudolnego"/>
          <w:color w:val="D0CECE" w:themeColor="background2" w:themeShade="E6"/>
          <w:lang w:val="pl"/>
        </w:rPr>
        <w:footnoteRef/>
      </w:r>
      <w:r>
        <w:rPr>
          <w:color w:val="D0CECE" w:themeColor="background2" w:themeShade="E6"/>
          <w:lang w:val="pl"/>
        </w:rPr>
        <w:t xml:space="preserve"> </w:t>
      </w:r>
      <w:r>
        <w:rPr>
          <w:color w:val="D0CECE" w:themeColor="background2" w:themeShade="E6"/>
          <w:sz w:val="14"/>
          <w:lang w:val="pl"/>
        </w:rPr>
        <w:t>Porównawcze informacje finansowe za rok 2021 zostały zmienione, zgodnie z MSSF 3, w związku z zakończeniem alokacji ceny nabycia za przejęcie spółki Iliad Poland, przejęcie spółki T-Mobile Infra, przejęcie spółki Polkomtel, transakcję ze spółką CK Hutchison dotyczącą Włoch, przejęcie spółki Infratower oraz przejęcie spółki Hivory (patrz Uwaga 6 w naszym skonsolidowanym sprawozdaniu finansowym za rok kończący się 31 grudnia 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DFBB" w14:textId="77777777" w:rsidR="00447AFD" w:rsidRPr="00100152" w:rsidRDefault="00E450B0" w:rsidP="00100152">
    <w:pPr>
      <w:pStyle w:val="Nagwek"/>
      <w:framePr w:wrap="around" w:vAnchor="text" w:hAnchor="margin" w:xAlign="right" w:y="1"/>
      <w:rPr>
        <w:rStyle w:val="Numerstrony"/>
        <w:spacing w:val="0"/>
      </w:rPr>
    </w:pPr>
    <w:r>
      <w:rPr>
        <w:rStyle w:val="Numerstrony"/>
        <w:lang w:val="pl"/>
      </w:rPr>
      <w:fldChar w:fldCharType="begin"/>
    </w:r>
    <w:r>
      <w:rPr>
        <w:rStyle w:val="Numerstrony"/>
        <w:lang w:val="pl"/>
      </w:rPr>
      <w:instrText xml:space="preserve">PAGE  </w:instrText>
    </w:r>
    <w:r w:rsidR="00C71650">
      <w:rPr>
        <w:rStyle w:val="Numerstrony"/>
        <w:lang w:val="pl"/>
      </w:rPr>
      <w:fldChar w:fldCharType="separate"/>
    </w:r>
    <w:r>
      <w:rPr>
        <w:rStyle w:val="Numerstrony"/>
        <w:lang w:val="pl"/>
      </w:rPr>
      <w:fldChar w:fldCharType="end"/>
    </w:r>
  </w:p>
  <w:p w14:paraId="03A5CD6C" w14:textId="77777777" w:rsidR="00447AFD" w:rsidRPr="00100152" w:rsidRDefault="00447AFD" w:rsidP="00100152">
    <w:pPr>
      <w:pStyle w:val="Nagwek"/>
      <w:ind w:right="360"/>
      <w:rPr>
        <w:rStyle w:val="Numerstrony"/>
        <w:spacing w:val="0"/>
      </w:rPr>
    </w:pPr>
  </w:p>
  <w:p w14:paraId="0AC65C77" w14:textId="77777777" w:rsidR="00447AFD" w:rsidRPr="00100152" w:rsidRDefault="00447AFD" w:rsidP="00100152">
    <w:pPr>
      <w:pStyle w:val="Nagwek"/>
      <w:rPr>
        <w:spacing w:val="0"/>
      </w:rPr>
    </w:pPr>
  </w:p>
  <w:p w14:paraId="76D5E57E" w14:textId="77777777" w:rsidR="00447AFD" w:rsidRPr="00100152" w:rsidRDefault="00447AFD" w:rsidP="00100152">
    <w:pPr>
      <w:rPr>
        <w:spacing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5842" w14:textId="4454935F" w:rsidR="00447AFD" w:rsidRPr="00100152" w:rsidRDefault="00E450B0" w:rsidP="00100152">
    <w:pPr>
      <w:pStyle w:val="Nagwek"/>
      <w:ind w:right="360"/>
      <w:rPr>
        <w:noProof/>
        <w:spacing w:val="0"/>
      </w:rPr>
    </w:pPr>
    <w:r>
      <w:rPr>
        <w:noProof/>
        <w:lang w:val="pl"/>
      </w:rPr>
      <mc:AlternateContent>
        <mc:Choice Requires="wps">
          <w:drawing>
            <wp:anchor distT="0" distB="0" distL="114300" distR="114300" simplePos="0" relativeHeight="251660288" behindDoc="0" locked="0" layoutInCell="1" allowOverlap="1" wp14:anchorId="59E5EAEE" wp14:editId="64728387">
              <wp:simplePos x="0" y="0"/>
              <wp:positionH relativeFrom="column">
                <wp:posOffset>4249420</wp:posOffset>
              </wp:positionH>
              <wp:positionV relativeFrom="paragraph">
                <wp:posOffset>268605</wp:posOffset>
              </wp:positionV>
              <wp:extent cx="1630045" cy="243205"/>
              <wp:effectExtent l="0" t="0" r="8255" b="4445"/>
              <wp:wrapNone/>
              <wp:docPr id="7" name="Cuadro de texto 11"/>
              <wp:cNvGraphicFramePr/>
              <a:graphic xmlns:a="http://schemas.openxmlformats.org/drawingml/2006/main">
                <a:graphicData uri="http://schemas.microsoft.com/office/word/2010/wordprocessingShape">
                  <wps:wsp>
                    <wps:cNvSpPr txBox="1"/>
                    <wps:spPr>
                      <a:xfrm>
                        <a:off x="0" y="0"/>
                        <a:ext cx="1630045" cy="2432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A6A61A" w14:textId="38534F00" w:rsidR="00447AFD" w:rsidRPr="00100152" w:rsidRDefault="00C71650" w:rsidP="00100152">
                          <w:pPr>
                            <w:pStyle w:val="webcabecera"/>
                            <w:rPr>
                              <w:spacing w:val="0"/>
                            </w:rPr>
                          </w:pPr>
                          <w:hyperlink r:id="rId1" w:history="1">
                            <w:r w:rsidR="00100152">
                              <w:rPr>
                                <w:rStyle w:val="Hipercze"/>
                                <w:iCs/>
                                <w:lang w:val="pl"/>
                              </w:rPr>
                              <w:t>Aktualności – Cellnex</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9E5EAEE" id="_x0000_t202" coordsize="21600,21600" o:spt="202" path="m,l,21600r21600,l21600,xe">
              <v:stroke joinstyle="miter"/>
              <v:path gradientshapeok="t" o:connecttype="rect"/>
            </v:shapetype>
            <v:shape id="Cuadro de texto 11" o:spid="_x0000_s1026" type="#_x0000_t202" style="position:absolute;left:0;text-align:left;margin-left:334.6pt;margin-top:21.15pt;width:128.35pt;height: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" filled="f" stroked="f">
              <v:textbox inset="0,0,0,0">
                <w:txbxContent>
                  <w:p w14:paraId="42A6A61A" w14:textId="38534F00" w:rsidR="00447AFD" w:rsidRPr="00100152" w:rsidRDefault="00C71650" w:rsidP="00100152">
                    <w:pPr>
                      <w:pStyle w:val="webcabecera"/>
                      <w:rPr>
                        <w:spacing w:val="0"/>
                      </w:rPr>
                    </w:pPr>
                    <w:hyperlink r:id="rId2" w:history="1">
                      <w:r w:rsidR="00100152">
                        <w:rPr>
                          <w:rStyle w:val="Hipercze"/>
                          <w:iCs/>
                          <w:lang w:val="pl"/>
                        </w:rPr>
                        <w:t>Aktualności – Cellnex</w:t>
                      </w:r>
                    </w:hyperlink>
                  </w:p>
                </w:txbxContent>
              </v:textbox>
            </v:shape>
          </w:pict>
        </mc:Fallback>
      </mc:AlternateContent>
    </w:r>
    <w:r>
      <w:rPr>
        <w:noProof/>
        <w:lang w:val="pl"/>
      </w:rPr>
      <w:drawing>
        <wp:anchor distT="0" distB="0" distL="114300" distR="114300" simplePos="0" relativeHeight="251662336" behindDoc="0" locked="0" layoutInCell="1" allowOverlap="1" wp14:anchorId="182CAE6F" wp14:editId="052C8A61">
          <wp:simplePos x="0" y="0"/>
          <wp:positionH relativeFrom="page">
            <wp:posOffset>647700</wp:posOffset>
          </wp:positionH>
          <wp:positionV relativeFrom="page">
            <wp:posOffset>457201</wp:posOffset>
          </wp:positionV>
          <wp:extent cx="1723525" cy="641350"/>
          <wp:effectExtent l="0" t="0" r="0" b="6350"/>
          <wp:wrapNone/>
          <wp:docPr id="1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07676" name="Imagen 1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735332" cy="645744"/>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pl"/>
      </w:rPr>
      <w:t xml:space="preserve"> </w:t>
    </w:r>
  </w:p>
  <w:p w14:paraId="5F36B1D8" w14:textId="77777777" w:rsidR="00447AFD" w:rsidRPr="00100152" w:rsidRDefault="00447AFD" w:rsidP="00100152">
    <w:pPr>
      <w:pStyle w:val="Nagwek"/>
      <w:ind w:right="360"/>
      <w:rPr>
        <w:color w:val="003652"/>
        <w:spacing w:val="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E1A7" w14:textId="77777777" w:rsidR="00447AFD" w:rsidRPr="00100152" w:rsidRDefault="00E450B0" w:rsidP="00100152">
    <w:pPr>
      <w:pStyle w:val="Tekstprzypisudolnego"/>
      <w:jc w:val="both"/>
      <w:rPr>
        <w:rFonts w:ascii="Cambria" w:hAnsi="Cambria"/>
      </w:rPr>
    </w:pPr>
    <w:r>
      <w:rPr>
        <w:rFonts w:ascii="Cambria" w:hAnsi="Cambria"/>
        <w:noProof/>
        <w:lang w:val="pl"/>
      </w:rPr>
      <w:drawing>
        <wp:anchor distT="0" distB="0" distL="114300" distR="114300" simplePos="0" relativeHeight="251661312" behindDoc="0" locked="0" layoutInCell="1" allowOverlap="1" wp14:anchorId="18C56B9B" wp14:editId="68BDCDE8">
          <wp:simplePos x="0" y="0"/>
          <wp:positionH relativeFrom="margin">
            <wp:align>left</wp:align>
          </wp:positionH>
          <wp:positionV relativeFrom="topMargin">
            <wp:posOffset>408305</wp:posOffset>
          </wp:positionV>
          <wp:extent cx="1714992" cy="6381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26981" name="Imagen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4992" cy="638175"/>
                  </a:xfrm>
                  <a:prstGeom prst="rect">
                    <a:avLst/>
                  </a:prstGeom>
                  <a:noFill/>
                </pic:spPr>
              </pic:pic>
            </a:graphicData>
          </a:graphic>
          <wp14:sizeRelH relativeFrom="margin">
            <wp14:pctWidth>0</wp14:pctWidth>
          </wp14:sizeRelH>
          <wp14:sizeRelV relativeFrom="margin">
            <wp14:pctHeight>0</wp14:pctHeight>
          </wp14:sizeRelV>
        </wp:anchor>
      </w:drawing>
    </w:r>
  </w:p>
  <w:p w14:paraId="7105BE66" w14:textId="19077DE2" w:rsidR="00447AFD" w:rsidRPr="00100152" w:rsidRDefault="00FB1864" w:rsidP="00100152">
    <w:pPr>
      <w:pStyle w:val="Tekstprzypisudolnego"/>
      <w:jc w:val="both"/>
      <w:rPr>
        <w:rFonts w:ascii="Cambria" w:hAnsi="Cambria"/>
      </w:rPr>
    </w:pPr>
    <w:r>
      <w:rPr>
        <w:rFonts w:ascii="Cambria" w:hAnsi="Cambria"/>
        <w:noProof/>
        <w:lang w:val="pl"/>
      </w:rPr>
      <mc:AlternateContent>
        <mc:Choice Requires="wps">
          <w:drawing>
            <wp:anchor distT="0" distB="0" distL="114300" distR="114300" simplePos="0" relativeHeight="251664384" behindDoc="0" locked="0" layoutInCell="1" allowOverlap="1" wp14:anchorId="1DC23AEF" wp14:editId="207E98E5">
              <wp:simplePos x="0" y="0"/>
              <wp:positionH relativeFrom="margin">
                <wp:posOffset>4249420</wp:posOffset>
              </wp:positionH>
              <wp:positionV relativeFrom="paragraph">
                <wp:posOffset>4445</wp:posOffset>
              </wp:positionV>
              <wp:extent cx="2101850" cy="405765"/>
              <wp:effectExtent l="0" t="0" r="0" b="0"/>
              <wp:wrapNone/>
              <wp:docPr id="1" name="Cuadro de texto 7"/>
              <wp:cNvGraphicFramePr/>
              <a:graphic xmlns:a="http://schemas.openxmlformats.org/drawingml/2006/main">
                <a:graphicData uri="http://schemas.microsoft.com/office/word/2010/wordprocessingShape">
                  <wps:wsp>
                    <wps:cNvSpPr txBox="1"/>
                    <wps:spPr>
                      <a:xfrm>
                        <a:off x="0" y="0"/>
                        <a:ext cx="2101850" cy="405765"/>
                      </a:xfrm>
                      <a:prstGeom prst="rect">
                        <a:avLst/>
                      </a:prstGeom>
                      <a:solidFill>
                        <a:sysClr val="window" lastClr="FFFFFF"/>
                      </a:solidFill>
                      <a:ln w="6350">
                        <a:noFill/>
                      </a:ln>
                      <a:effectLst/>
                    </wps:spPr>
                    <wps:txbx>
                      <w:txbxContent>
                        <w:p w14:paraId="2B262D65" w14:textId="77777777" w:rsidR="00FB1864" w:rsidRPr="00C71650" w:rsidRDefault="00FB1864" w:rsidP="00100152">
                          <w:pPr>
                            <w:spacing w:line="276" w:lineRule="auto"/>
                            <w:rPr>
                              <w:rFonts w:asciiTheme="minorHAnsi" w:hAnsiTheme="minorHAnsi" w:cstheme="minorHAnsi"/>
                              <w:color w:val="425563"/>
                              <w:spacing w:val="0"/>
                              <w:sz w:val="28"/>
                              <w:szCs w:val="28"/>
                            </w:rPr>
                          </w:pPr>
                          <w:r w:rsidRPr="00C71650">
                            <w:rPr>
                              <w:rFonts w:asciiTheme="minorHAnsi" w:hAnsiTheme="minorHAnsi" w:cstheme="minorHAnsi"/>
                              <w:color w:val="425563"/>
                              <w:sz w:val="28"/>
                              <w:szCs w:val="28"/>
                              <w:lang w:val="pl"/>
                            </w:rPr>
                            <w:t>Informacja prasowa</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w14:anchorId="1DC23AEF" id="_x0000_t202" coordsize="21600,21600" o:spt="202" path="m,l,21600r21600,l21600,xe">
              <v:stroke joinstyle="miter"/>
              <v:path gradientshapeok="t" o:connecttype="rect"/>
            </v:shapetype>
            <v:shape id="Cuadro de texto 7" o:spid="_x0000_s1027" type="#_x0000_t202" style="position:absolute;left:0;text-align:left;margin-left:334.6pt;margin-top:.35pt;width:165.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" fillcolor="window" stroked="f" strokeweight=".5pt">
              <v:textbox>
                <w:txbxContent>
                  <w:p w14:paraId="2B262D65" w14:textId="77777777" w:rsidR="00FB1864" w:rsidRPr="00C71650" w:rsidRDefault="00FB1864" w:rsidP="00100152">
                    <w:pPr>
                      <w:spacing w:line="276" w:lineRule="auto"/>
                      <w:rPr>
                        <w:rFonts w:asciiTheme="minorHAnsi" w:hAnsiTheme="minorHAnsi" w:cstheme="minorHAnsi"/>
                        <w:color w:val="425563"/>
                        <w:spacing w:val="0"/>
                        <w:sz w:val="28"/>
                        <w:szCs w:val="28"/>
                      </w:rPr>
                    </w:pPr>
                    <w:r w:rsidRPr="00C71650">
                      <w:rPr>
                        <w:rFonts w:asciiTheme="minorHAnsi" w:hAnsiTheme="minorHAnsi" w:cstheme="minorHAnsi"/>
                        <w:color w:val="425563"/>
                        <w:sz w:val="28"/>
                        <w:szCs w:val="28"/>
                        <w:lang w:val="pl"/>
                      </w:rPr>
                      <w:t>Informacja prasowa</w:t>
                    </w:r>
                  </w:p>
                </w:txbxContent>
              </v:textbox>
              <w10:wrap anchorx="margin"/>
            </v:shape>
          </w:pict>
        </mc:Fallback>
      </mc:AlternateContent>
    </w:r>
  </w:p>
  <w:p w14:paraId="04663D47" w14:textId="77777777" w:rsidR="00447AFD" w:rsidRPr="00100152" w:rsidRDefault="00447AFD" w:rsidP="00100152">
    <w:pPr>
      <w:pStyle w:val="Tekstprzypisudolnego"/>
      <w:jc w:val="both"/>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80C"/>
    <w:multiLevelType w:val="hybridMultilevel"/>
    <w:tmpl w:val="936890A6"/>
    <w:lvl w:ilvl="0" w:tplc="642449E0">
      <w:start w:val="1"/>
      <w:numFmt w:val="bullet"/>
      <w:lvlText w:val=""/>
      <w:lvlJc w:val="left"/>
      <w:pPr>
        <w:ind w:left="1004" w:hanging="360"/>
      </w:pPr>
      <w:rPr>
        <w:rFonts w:ascii="Symbol" w:hAnsi="Symbol" w:hint="default"/>
      </w:rPr>
    </w:lvl>
    <w:lvl w:ilvl="1" w:tplc="907AFEA2" w:tentative="1">
      <w:start w:val="1"/>
      <w:numFmt w:val="bullet"/>
      <w:lvlText w:val="o"/>
      <w:lvlJc w:val="left"/>
      <w:pPr>
        <w:ind w:left="1724" w:hanging="360"/>
      </w:pPr>
      <w:rPr>
        <w:rFonts w:ascii="Courier New" w:hAnsi="Courier New" w:cs="Courier New" w:hint="default"/>
      </w:rPr>
    </w:lvl>
    <w:lvl w:ilvl="2" w:tplc="202A5CBA" w:tentative="1">
      <w:start w:val="1"/>
      <w:numFmt w:val="bullet"/>
      <w:lvlText w:val=""/>
      <w:lvlJc w:val="left"/>
      <w:pPr>
        <w:ind w:left="2444" w:hanging="360"/>
      </w:pPr>
      <w:rPr>
        <w:rFonts w:ascii="Wingdings" w:hAnsi="Wingdings" w:hint="default"/>
      </w:rPr>
    </w:lvl>
    <w:lvl w:ilvl="3" w:tplc="C8D2B070" w:tentative="1">
      <w:start w:val="1"/>
      <w:numFmt w:val="bullet"/>
      <w:lvlText w:val=""/>
      <w:lvlJc w:val="left"/>
      <w:pPr>
        <w:ind w:left="3164" w:hanging="360"/>
      </w:pPr>
      <w:rPr>
        <w:rFonts w:ascii="Symbol" w:hAnsi="Symbol" w:hint="default"/>
      </w:rPr>
    </w:lvl>
    <w:lvl w:ilvl="4" w:tplc="6772F5EC" w:tentative="1">
      <w:start w:val="1"/>
      <w:numFmt w:val="bullet"/>
      <w:lvlText w:val="o"/>
      <w:lvlJc w:val="left"/>
      <w:pPr>
        <w:ind w:left="3884" w:hanging="360"/>
      </w:pPr>
      <w:rPr>
        <w:rFonts w:ascii="Courier New" w:hAnsi="Courier New" w:cs="Courier New" w:hint="default"/>
      </w:rPr>
    </w:lvl>
    <w:lvl w:ilvl="5" w:tplc="F7C62026" w:tentative="1">
      <w:start w:val="1"/>
      <w:numFmt w:val="bullet"/>
      <w:lvlText w:val=""/>
      <w:lvlJc w:val="left"/>
      <w:pPr>
        <w:ind w:left="4604" w:hanging="360"/>
      </w:pPr>
      <w:rPr>
        <w:rFonts w:ascii="Wingdings" w:hAnsi="Wingdings" w:hint="default"/>
      </w:rPr>
    </w:lvl>
    <w:lvl w:ilvl="6" w:tplc="C4101376" w:tentative="1">
      <w:start w:val="1"/>
      <w:numFmt w:val="bullet"/>
      <w:lvlText w:val=""/>
      <w:lvlJc w:val="left"/>
      <w:pPr>
        <w:ind w:left="5324" w:hanging="360"/>
      </w:pPr>
      <w:rPr>
        <w:rFonts w:ascii="Symbol" w:hAnsi="Symbol" w:hint="default"/>
      </w:rPr>
    </w:lvl>
    <w:lvl w:ilvl="7" w:tplc="ECE80646" w:tentative="1">
      <w:start w:val="1"/>
      <w:numFmt w:val="bullet"/>
      <w:lvlText w:val="o"/>
      <w:lvlJc w:val="left"/>
      <w:pPr>
        <w:ind w:left="6044" w:hanging="360"/>
      </w:pPr>
      <w:rPr>
        <w:rFonts w:ascii="Courier New" w:hAnsi="Courier New" w:cs="Courier New" w:hint="default"/>
      </w:rPr>
    </w:lvl>
    <w:lvl w:ilvl="8" w:tplc="F6325E96" w:tentative="1">
      <w:start w:val="1"/>
      <w:numFmt w:val="bullet"/>
      <w:lvlText w:val=""/>
      <w:lvlJc w:val="left"/>
      <w:pPr>
        <w:ind w:left="6764" w:hanging="360"/>
      </w:pPr>
      <w:rPr>
        <w:rFonts w:ascii="Wingdings" w:hAnsi="Wingdings" w:hint="default"/>
      </w:rPr>
    </w:lvl>
  </w:abstractNum>
  <w:abstractNum w:abstractNumId="1" w15:restartNumberingAfterBreak="0">
    <w:nsid w:val="10EF43FD"/>
    <w:multiLevelType w:val="hybridMultilevel"/>
    <w:tmpl w:val="1CD0B8EA"/>
    <w:lvl w:ilvl="0" w:tplc="DFF20C54">
      <w:start w:val="1"/>
      <w:numFmt w:val="bullet"/>
      <w:lvlText w:val=""/>
      <w:lvlJc w:val="left"/>
      <w:pPr>
        <w:ind w:left="720" w:hanging="360"/>
      </w:pPr>
      <w:rPr>
        <w:rFonts w:ascii="Symbol" w:hAnsi="Symbol" w:hint="default"/>
      </w:rPr>
    </w:lvl>
    <w:lvl w:ilvl="1" w:tplc="6F2660C8" w:tentative="1">
      <w:start w:val="1"/>
      <w:numFmt w:val="bullet"/>
      <w:lvlText w:val="o"/>
      <w:lvlJc w:val="left"/>
      <w:pPr>
        <w:ind w:left="1440" w:hanging="360"/>
      </w:pPr>
      <w:rPr>
        <w:rFonts w:ascii="Courier New" w:hAnsi="Courier New" w:cs="Courier New" w:hint="default"/>
      </w:rPr>
    </w:lvl>
    <w:lvl w:ilvl="2" w:tplc="3334C4CC" w:tentative="1">
      <w:start w:val="1"/>
      <w:numFmt w:val="bullet"/>
      <w:lvlText w:val=""/>
      <w:lvlJc w:val="left"/>
      <w:pPr>
        <w:ind w:left="2160" w:hanging="360"/>
      </w:pPr>
      <w:rPr>
        <w:rFonts w:ascii="Wingdings" w:hAnsi="Wingdings" w:hint="default"/>
      </w:rPr>
    </w:lvl>
    <w:lvl w:ilvl="3" w:tplc="5A54A110" w:tentative="1">
      <w:start w:val="1"/>
      <w:numFmt w:val="bullet"/>
      <w:lvlText w:val=""/>
      <w:lvlJc w:val="left"/>
      <w:pPr>
        <w:ind w:left="2880" w:hanging="360"/>
      </w:pPr>
      <w:rPr>
        <w:rFonts w:ascii="Symbol" w:hAnsi="Symbol" w:hint="default"/>
      </w:rPr>
    </w:lvl>
    <w:lvl w:ilvl="4" w:tplc="7A86CD02" w:tentative="1">
      <w:start w:val="1"/>
      <w:numFmt w:val="bullet"/>
      <w:lvlText w:val="o"/>
      <w:lvlJc w:val="left"/>
      <w:pPr>
        <w:ind w:left="3600" w:hanging="360"/>
      </w:pPr>
      <w:rPr>
        <w:rFonts w:ascii="Courier New" w:hAnsi="Courier New" w:cs="Courier New" w:hint="default"/>
      </w:rPr>
    </w:lvl>
    <w:lvl w:ilvl="5" w:tplc="574EC37A" w:tentative="1">
      <w:start w:val="1"/>
      <w:numFmt w:val="bullet"/>
      <w:lvlText w:val=""/>
      <w:lvlJc w:val="left"/>
      <w:pPr>
        <w:ind w:left="4320" w:hanging="360"/>
      </w:pPr>
      <w:rPr>
        <w:rFonts w:ascii="Wingdings" w:hAnsi="Wingdings" w:hint="default"/>
      </w:rPr>
    </w:lvl>
    <w:lvl w:ilvl="6" w:tplc="C4822A68" w:tentative="1">
      <w:start w:val="1"/>
      <w:numFmt w:val="bullet"/>
      <w:lvlText w:val=""/>
      <w:lvlJc w:val="left"/>
      <w:pPr>
        <w:ind w:left="5040" w:hanging="360"/>
      </w:pPr>
      <w:rPr>
        <w:rFonts w:ascii="Symbol" w:hAnsi="Symbol" w:hint="default"/>
      </w:rPr>
    </w:lvl>
    <w:lvl w:ilvl="7" w:tplc="51802EE6" w:tentative="1">
      <w:start w:val="1"/>
      <w:numFmt w:val="bullet"/>
      <w:lvlText w:val="o"/>
      <w:lvlJc w:val="left"/>
      <w:pPr>
        <w:ind w:left="5760" w:hanging="360"/>
      </w:pPr>
      <w:rPr>
        <w:rFonts w:ascii="Courier New" w:hAnsi="Courier New" w:cs="Courier New" w:hint="default"/>
      </w:rPr>
    </w:lvl>
    <w:lvl w:ilvl="8" w:tplc="8BE6791A" w:tentative="1">
      <w:start w:val="1"/>
      <w:numFmt w:val="bullet"/>
      <w:lvlText w:val=""/>
      <w:lvlJc w:val="left"/>
      <w:pPr>
        <w:ind w:left="6480" w:hanging="360"/>
      </w:pPr>
      <w:rPr>
        <w:rFonts w:ascii="Wingdings" w:hAnsi="Wingdings" w:hint="default"/>
      </w:rPr>
    </w:lvl>
  </w:abstractNum>
  <w:abstractNum w:abstractNumId="2" w15:restartNumberingAfterBreak="0">
    <w:nsid w:val="17FC66D9"/>
    <w:multiLevelType w:val="hybridMultilevel"/>
    <w:tmpl w:val="CA96777A"/>
    <w:lvl w:ilvl="0" w:tplc="3BDAA64A">
      <w:start w:val="1"/>
      <w:numFmt w:val="bullet"/>
      <w:lvlText w:val=""/>
      <w:lvlJc w:val="left"/>
      <w:pPr>
        <w:ind w:left="720" w:hanging="360"/>
      </w:pPr>
      <w:rPr>
        <w:rFonts w:ascii="Symbol" w:hAnsi="Symbol" w:hint="default"/>
      </w:rPr>
    </w:lvl>
    <w:lvl w:ilvl="1" w:tplc="E4505850" w:tentative="1">
      <w:start w:val="1"/>
      <w:numFmt w:val="bullet"/>
      <w:lvlText w:val="o"/>
      <w:lvlJc w:val="left"/>
      <w:pPr>
        <w:ind w:left="1440" w:hanging="360"/>
      </w:pPr>
      <w:rPr>
        <w:rFonts w:ascii="Courier New" w:hAnsi="Courier New" w:cs="Courier New" w:hint="default"/>
      </w:rPr>
    </w:lvl>
    <w:lvl w:ilvl="2" w:tplc="6C02146C" w:tentative="1">
      <w:start w:val="1"/>
      <w:numFmt w:val="bullet"/>
      <w:lvlText w:val=""/>
      <w:lvlJc w:val="left"/>
      <w:pPr>
        <w:ind w:left="2160" w:hanging="360"/>
      </w:pPr>
      <w:rPr>
        <w:rFonts w:ascii="Wingdings" w:hAnsi="Wingdings" w:hint="default"/>
      </w:rPr>
    </w:lvl>
    <w:lvl w:ilvl="3" w:tplc="F062931E" w:tentative="1">
      <w:start w:val="1"/>
      <w:numFmt w:val="bullet"/>
      <w:lvlText w:val=""/>
      <w:lvlJc w:val="left"/>
      <w:pPr>
        <w:ind w:left="2880" w:hanging="360"/>
      </w:pPr>
      <w:rPr>
        <w:rFonts w:ascii="Symbol" w:hAnsi="Symbol" w:hint="default"/>
      </w:rPr>
    </w:lvl>
    <w:lvl w:ilvl="4" w:tplc="82CEB08A" w:tentative="1">
      <w:start w:val="1"/>
      <w:numFmt w:val="bullet"/>
      <w:lvlText w:val="o"/>
      <w:lvlJc w:val="left"/>
      <w:pPr>
        <w:ind w:left="3600" w:hanging="360"/>
      </w:pPr>
      <w:rPr>
        <w:rFonts w:ascii="Courier New" w:hAnsi="Courier New" w:cs="Courier New" w:hint="default"/>
      </w:rPr>
    </w:lvl>
    <w:lvl w:ilvl="5" w:tplc="4ABEEE22" w:tentative="1">
      <w:start w:val="1"/>
      <w:numFmt w:val="bullet"/>
      <w:lvlText w:val=""/>
      <w:lvlJc w:val="left"/>
      <w:pPr>
        <w:ind w:left="4320" w:hanging="360"/>
      </w:pPr>
      <w:rPr>
        <w:rFonts w:ascii="Wingdings" w:hAnsi="Wingdings" w:hint="default"/>
      </w:rPr>
    </w:lvl>
    <w:lvl w:ilvl="6" w:tplc="1C7E6CC6" w:tentative="1">
      <w:start w:val="1"/>
      <w:numFmt w:val="bullet"/>
      <w:lvlText w:val=""/>
      <w:lvlJc w:val="left"/>
      <w:pPr>
        <w:ind w:left="5040" w:hanging="360"/>
      </w:pPr>
      <w:rPr>
        <w:rFonts w:ascii="Symbol" w:hAnsi="Symbol" w:hint="default"/>
      </w:rPr>
    </w:lvl>
    <w:lvl w:ilvl="7" w:tplc="40B25C1C" w:tentative="1">
      <w:start w:val="1"/>
      <w:numFmt w:val="bullet"/>
      <w:lvlText w:val="o"/>
      <w:lvlJc w:val="left"/>
      <w:pPr>
        <w:ind w:left="5760" w:hanging="360"/>
      </w:pPr>
      <w:rPr>
        <w:rFonts w:ascii="Courier New" w:hAnsi="Courier New" w:cs="Courier New" w:hint="default"/>
      </w:rPr>
    </w:lvl>
    <w:lvl w:ilvl="8" w:tplc="30D602A4" w:tentative="1">
      <w:start w:val="1"/>
      <w:numFmt w:val="bullet"/>
      <w:lvlText w:val=""/>
      <w:lvlJc w:val="left"/>
      <w:pPr>
        <w:ind w:left="6480" w:hanging="360"/>
      </w:pPr>
      <w:rPr>
        <w:rFonts w:ascii="Wingdings" w:hAnsi="Wingdings" w:hint="default"/>
      </w:rPr>
    </w:lvl>
  </w:abstractNum>
  <w:abstractNum w:abstractNumId="3" w15:restartNumberingAfterBreak="0">
    <w:nsid w:val="187B49AA"/>
    <w:multiLevelType w:val="hybridMultilevel"/>
    <w:tmpl w:val="A774A7AA"/>
    <w:lvl w:ilvl="0" w:tplc="D1880EC6">
      <w:start w:val="1"/>
      <w:numFmt w:val="bullet"/>
      <w:lvlText w:val=""/>
      <w:lvlJc w:val="left"/>
      <w:pPr>
        <w:ind w:left="1004" w:hanging="360"/>
      </w:pPr>
      <w:rPr>
        <w:rFonts w:ascii="Symbol" w:hAnsi="Symbol" w:hint="default"/>
      </w:rPr>
    </w:lvl>
    <w:lvl w:ilvl="1" w:tplc="1EF048CC" w:tentative="1">
      <w:start w:val="1"/>
      <w:numFmt w:val="bullet"/>
      <w:lvlText w:val="o"/>
      <w:lvlJc w:val="left"/>
      <w:pPr>
        <w:ind w:left="1724" w:hanging="360"/>
      </w:pPr>
      <w:rPr>
        <w:rFonts w:ascii="Courier New" w:hAnsi="Courier New" w:cs="Courier New" w:hint="default"/>
      </w:rPr>
    </w:lvl>
    <w:lvl w:ilvl="2" w:tplc="261A0AD0" w:tentative="1">
      <w:start w:val="1"/>
      <w:numFmt w:val="bullet"/>
      <w:lvlText w:val=""/>
      <w:lvlJc w:val="left"/>
      <w:pPr>
        <w:ind w:left="2444" w:hanging="360"/>
      </w:pPr>
      <w:rPr>
        <w:rFonts w:ascii="Wingdings" w:hAnsi="Wingdings" w:hint="default"/>
      </w:rPr>
    </w:lvl>
    <w:lvl w:ilvl="3" w:tplc="2618D09E" w:tentative="1">
      <w:start w:val="1"/>
      <w:numFmt w:val="bullet"/>
      <w:lvlText w:val=""/>
      <w:lvlJc w:val="left"/>
      <w:pPr>
        <w:ind w:left="3164" w:hanging="360"/>
      </w:pPr>
      <w:rPr>
        <w:rFonts w:ascii="Symbol" w:hAnsi="Symbol" w:hint="default"/>
      </w:rPr>
    </w:lvl>
    <w:lvl w:ilvl="4" w:tplc="D256B07A" w:tentative="1">
      <w:start w:val="1"/>
      <w:numFmt w:val="bullet"/>
      <w:lvlText w:val="o"/>
      <w:lvlJc w:val="left"/>
      <w:pPr>
        <w:ind w:left="3884" w:hanging="360"/>
      </w:pPr>
      <w:rPr>
        <w:rFonts w:ascii="Courier New" w:hAnsi="Courier New" w:cs="Courier New" w:hint="default"/>
      </w:rPr>
    </w:lvl>
    <w:lvl w:ilvl="5" w:tplc="BCB4FFD2" w:tentative="1">
      <w:start w:val="1"/>
      <w:numFmt w:val="bullet"/>
      <w:lvlText w:val=""/>
      <w:lvlJc w:val="left"/>
      <w:pPr>
        <w:ind w:left="4604" w:hanging="360"/>
      </w:pPr>
      <w:rPr>
        <w:rFonts w:ascii="Wingdings" w:hAnsi="Wingdings" w:hint="default"/>
      </w:rPr>
    </w:lvl>
    <w:lvl w:ilvl="6" w:tplc="E422AADC" w:tentative="1">
      <w:start w:val="1"/>
      <w:numFmt w:val="bullet"/>
      <w:lvlText w:val=""/>
      <w:lvlJc w:val="left"/>
      <w:pPr>
        <w:ind w:left="5324" w:hanging="360"/>
      </w:pPr>
      <w:rPr>
        <w:rFonts w:ascii="Symbol" w:hAnsi="Symbol" w:hint="default"/>
      </w:rPr>
    </w:lvl>
    <w:lvl w:ilvl="7" w:tplc="23C6C4D0" w:tentative="1">
      <w:start w:val="1"/>
      <w:numFmt w:val="bullet"/>
      <w:lvlText w:val="o"/>
      <w:lvlJc w:val="left"/>
      <w:pPr>
        <w:ind w:left="6044" w:hanging="360"/>
      </w:pPr>
      <w:rPr>
        <w:rFonts w:ascii="Courier New" w:hAnsi="Courier New" w:cs="Courier New" w:hint="default"/>
      </w:rPr>
    </w:lvl>
    <w:lvl w:ilvl="8" w:tplc="ECBA3584" w:tentative="1">
      <w:start w:val="1"/>
      <w:numFmt w:val="bullet"/>
      <w:lvlText w:val=""/>
      <w:lvlJc w:val="left"/>
      <w:pPr>
        <w:ind w:left="6764" w:hanging="360"/>
      </w:pPr>
      <w:rPr>
        <w:rFonts w:ascii="Wingdings" w:hAnsi="Wingdings" w:hint="default"/>
      </w:rPr>
    </w:lvl>
  </w:abstractNum>
  <w:abstractNum w:abstractNumId="4" w15:restartNumberingAfterBreak="0">
    <w:nsid w:val="1BE13B2A"/>
    <w:multiLevelType w:val="hybridMultilevel"/>
    <w:tmpl w:val="CE6C9A98"/>
    <w:lvl w:ilvl="0" w:tplc="9C26CAB0">
      <w:start w:val="1"/>
      <w:numFmt w:val="bullet"/>
      <w:lvlText w:val=""/>
      <w:lvlJc w:val="left"/>
      <w:pPr>
        <w:ind w:left="720" w:hanging="360"/>
      </w:pPr>
      <w:rPr>
        <w:rFonts w:ascii="Symbol" w:hAnsi="Symbol" w:hint="default"/>
      </w:rPr>
    </w:lvl>
    <w:lvl w:ilvl="1" w:tplc="488485D0" w:tentative="1">
      <w:start w:val="1"/>
      <w:numFmt w:val="bullet"/>
      <w:lvlText w:val="o"/>
      <w:lvlJc w:val="left"/>
      <w:pPr>
        <w:ind w:left="1440" w:hanging="360"/>
      </w:pPr>
      <w:rPr>
        <w:rFonts w:ascii="Courier New" w:hAnsi="Courier New" w:cs="Courier New" w:hint="default"/>
      </w:rPr>
    </w:lvl>
    <w:lvl w:ilvl="2" w:tplc="11183C2E" w:tentative="1">
      <w:start w:val="1"/>
      <w:numFmt w:val="bullet"/>
      <w:lvlText w:val=""/>
      <w:lvlJc w:val="left"/>
      <w:pPr>
        <w:ind w:left="2160" w:hanging="360"/>
      </w:pPr>
      <w:rPr>
        <w:rFonts w:ascii="Wingdings" w:hAnsi="Wingdings" w:hint="default"/>
      </w:rPr>
    </w:lvl>
    <w:lvl w:ilvl="3" w:tplc="381AA628" w:tentative="1">
      <w:start w:val="1"/>
      <w:numFmt w:val="bullet"/>
      <w:lvlText w:val=""/>
      <w:lvlJc w:val="left"/>
      <w:pPr>
        <w:ind w:left="2880" w:hanging="360"/>
      </w:pPr>
      <w:rPr>
        <w:rFonts w:ascii="Symbol" w:hAnsi="Symbol" w:hint="default"/>
      </w:rPr>
    </w:lvl>
    <w:lvl w:ilvl="4" w:tplc="E1FC4432" w:tentative="1">
      <w:start w:val="1"/>
      <w:numFmt w:val="bullet"/>
      <w:lvlText w:val="o"/>
      <w:lvlJc w:val="left"/>
      <w:pPr>
        <w:ind w:left="3600" w:hanging="360"/>
      </w:pPr>
      <w:rPr>
        <w:rFonts w:ascii="Courier New" w:hAnsi="Courier New" w:cs="Courier New" w:hint="default"/>
      </w:rPr>
    </w:lvl>
    <w:lvl w:ilvl="5" w:tplc="C0EEF99A" w:tentative="1">
      <w:start w:val="1"/>
      <w:numFmt w:val="bullet"/>
      <w:lvlText w:val=""/>
      <w:lvlJc w:val="left"/>
      <w:pPr>
        <w:ind w:left="4320" w:hanging="360"/>
      </w:pPr>
      <w:rPr>
        <w:rFonts w:ascii="Wingdings" w:hAnsi="Wingdings" w:hint="default"/>
      </w:rPr>
    </w:lvl>
    <w:lvl w:ilvl="6" w:tplc="21EE1E5E" w:tentative="1">
      <w:start w:val="1"/>
      <w:numFmt w:val="bullet"/>
      <w:lvlText w:val=""/>
      <w:lvlJc w:val="left"/>
      <w:pPr>
        <w:ind w:left="5040" w:hanging="360"/>
      </w:pPr>
      <w:rPr>
        <w:rFonts w:ascii="Symbol" w:hAnsi="Symbol" w:hint="default"/>
      </w:rPr>
    </w:lvl>
    <w:lvl w:ilvl="7" w:tplc="7DA0E8B4" w:tentative="1">
      <w:start w:val="1"/>
      <w:numFmt w:val="bullet"/>
      <w:lvlText w:val="o"/>
      <w:lvlJc w:val="left"/>
      <w:pPr>
        <w:ind w:left="5760" w:hanging="360"/>
      </w:pPr>
      <w:rPr>
        <w:rFonts w:ascii="Courier New" w:hAnsi="Courier New" w:cs="Courier New" w:hint="default"/>
      </w:rPr>
    </w:lvl>
    <w:lvl w:ilvl="8" w:tplc="DAFE0450" w:tentative="1">
      <w:start w:val="1"/>
      <w:numFmt w:val="bullet"/>
      <w:lvlText w:val=""/>
      <w:lvlJc w:val="left"/>
      <w:pPr>
        <w:ind w:left="6480" w:hanging="360"/>
      </w:pPr>
      <w:rPr>
        <w:rFonts w:ascii="Wingdings" w:hAnsi="Wingdings" w:hint="default"/>
      </w:rPr>
    </w:lvl>
  </w:abstractNum>
  <w:abstractNum w:abstractNumId="5" w15:restartNumberingAfterBreak="0">
    <w:nsid w:val="1C510EC2"/>
    <w:multiLevelType w:val="hybridMultilevel"/>
    <w:tmpl w:val="9F5057CA"/>
    <w:lvl w:ilvl="0" w:tplc="710093D2">
      <w:start w:val="1"/>
      <w:numFmt w:val="bullet"/>
      <w:lvlText w:val=""/>
      <w:lvlJc w:val="left"/>
      <w:pPr>
        <w:ind w:left="720" w:hanging="360"/>
      </w:pPr>
      <w:rPr>
        <w:rFonts w:ascii="Symbol" w:hAnsi="Symbol" w:hint="default"/>
      </w:rPr>
    </w:lvl>
    <w:lvl w:ilvl="1" w:tplc="8982A796" w:tentative="1">
      <w:start w:val="1"/>
      <w:numFmt w:val="bullet"/>
      <w:lvlText w:val="o"/>
      <w:lvlJc w:val="left"/>
      <w:pPr>
        <w:ind w:left="1440" w:hanging="360"/>
      </w:pPr>
      <w:rPr>
        <w:rFonts w:ascii="Courier New" w:hAnsi="Courier New" w:cs="Courier New" w:hint="default"/>
      </w:rPr>
    </w:lvl>
    <w:lvl w:ilvl="2" w:tplc="97EA8080" w:tentative="1">
      <w:start w:val="1"/>
      <w:numFmt w:val="bullet"/>
      <w:lvlText w:val=""/>
      <w:lvlJc w:val="left"/>
      <w:pPr>
        <w:ind w:left="2160" w:hanging="360"/>
      </w:pPr>
      <w:rPr>
        <w:rFonts w:ascii="Wingdings" w:hAnsi="Wingdings" w:hint="default"/>
      </w:rPr>
    </w:lvl>
    <w:lvl w:ilvl="3" w:tplc="111229BE" w:tentative="1">
      <w:start w:val="1"/>
      <w:numFmt w:val="bullet"/>
      <w:lvlText w:val=""/>
      <w:lvlJc w:val="left"/>
      <w:pPr>
        <w:ind w:left="2880" w:hanging="360"/>
      </w:pPr>
      <w:rPr>
        <w:rFonts w:ascii="Symbol" w:hAnsi="Symbol" w:hint="default"/>
      </w:rPr>
    </w:lvl>
    <w:lvl w:ilvl="4" w:tplc="E44E3CB6" w:tentative="1">
      <w:start w:val="1"/>
      <w:numFmt w:val="bullet"/>
      <w:lvlText w:val="o"/>
      <w:lvlJc w:val="left"/>
      <w:pPr>
        <w:ind w:left="3600" w:hanging="360"/>
      </w:pPr>
      <w:rPr>
        <w:rFonts w:ascii="Courier New" w:hAnsi="Courier New" w:cs="Courier New" w:hint="default"/>
      </w:rPr>
    </w:lvl>
    <w:lvl w:ilvl="5" w:tplc="8500CC14" w:tentative="1">
      <w:start w:val="1"/>
      <w:numFmt w:val="bullet"/>
      <w:lvlText w:val=""/>
      <w:lvlJc w:val="left"/>
      <w:pPr>
        <w:ind w:left="4320" w:hanging="360"/>
      </w:pPr>
      <w:rPr>
        <w:rFonts w:ascii="Wingdings" w:hAnsi="Wingdings" w:hint="default"/>
      </w:rPr>
    </w:lvl>
    <w:lvl w:ilvl="6" w:tplc="B6709B7C" w:tentative="1">
      <w:start w:val="1"/>
      <w:numFmt w:val="bullet"/>
      <w:lvlText w:val=""/>
      <w:lvlJc w:val="left"/>
      <w:pPr>
        <w:ind w:left="5040" w:hanging="360"/>
      </w:pPr>
      <w:rPr>
        <w:rFonts w:ascii="Symbol" w:hAnsi="Symbol" w:hint="default"/>
      </w:rPr>
    </w:lvl>
    <w:lvl w:ilvl="7" w:tplc="58645A1E" w:tentative="1">
      <w:start w:val="1"/>
      <w:numFmt w:val="bullet"/>
      <w:lvlText w:val="o"/>
      <w:lvlJc w:val="left"/>
      <w:pPr>
        <w:ind w:left="5760" w:hanging="360"/>
      </w:pPr>
      <w:rPr>
        <w:rFonts w:ascii="Courier New" w:hAnsi="Courier New" w:cs="Courier New" w:hint="default"/>
      </w:rPr>
    </w:lvl>
    <w:lvl w:ilvl="8" w:tplc="901278F6" w:tentative="1">
      <w:start w:val="1"/>
      <w:numFmt w:val="bullet"/>
      <w:lvlText w:val=""/>
      <w:lvlJc w:val="left"/>
      <w:pPr>
        <w:ind w:left="6480" w:hanging="360"/>
      </w:pPr>
      <w:rPr>
        <w:rFonts w:ascii="Wingdings" w:hAnsi="Wingdings" w:hint="default"/>
      </w:rPr>
    </w:lvl>
  </w:abstractNum>
  <w:abstractNum w:abstractNumId="6" w15:restartNumberingAfterBreak="0">
    <w:nsid w:val="2A2D452B"/>
    <w:multiLevelType w:val="hybridMultilevel"/>
    <w:tmpl w:val="86CCADA4"/>
    <w:lvl w:ilvl="0" w:tplc="4726CA30">
      <w:start w:val="1"/>
      <w:numFmt w:val="bullet"/>
      <w:lvlText w:val=""/>
      <w:lvlJc w:val="left"/>
      <w:pPr>
        <w:ind w:left="720" w:hanging="360"/>
      </w:pPr>
      <w:rPr>
        <w:rFonts w:ascii="Symbol" w:hAnsi="Symbol" w:hint="default"/>
      </w:rPr>
    </w:lvl>
    <w:lvl w:ilvl="1" w:tplc="3108580A" w:tentative="1">
      <w:start w:val="1"/>
      <w:numFmt w:val="bullet"/>
      <w:lvlText w:val="o"/>
      <w:lvlJc w:val="left"/>
      <w:pPr>
        <w:ind w:left="1440" w:hanging="360"/>
      </w:pPr>
      <w:rPr>
        <w:rFonts w:ascii="Courier New" w:hAnsi="Courier New" w:cs="Courier New" w:hint="default"/>
      </w:rPr>
    </w:lvl>
    <w:lvl w:ilvl="2" w:tplc="1454235C" w:tentative="1">
      <w:start w:val="1"/>
      <w:numFmt w:val="bullet"/>
      <w:lvlText w:val=""/>
      <w:lvlJc w:val="left"/>
      <w:pPr>
        <w:ind w:left="2160" w:hanging="360"/>
      </w:pPr>
      <w:rPr>
        <w:rFonts w:ascii="Wingdings" w:hAnsi="Wingdings" w:hint="default"/>
      </w:rPr>
    </w:lvl>
    <w:lvl w:ilvl="3" w:tplc="FD2642EE" w:tentative="1">
      <w:start w:val="1"/>
      <w:numFmt w:val="bullet"/>
      <w:lvlText w:val=""/>
      <w:lvlJc w:val="left"/>
      <w:pPr>
        <w:ind w:left="2880" w:hanging="360"/>
      </w:pPr>
      <w:rPr>
        <w:rFonts w:ascii="Symbol" w:hAnsi="Symbol" w:hint="default"/>
      </w:rPr>
    </w:lvl>
    <w:lvl w:ilvl="4" w:tplc="F1968F8A" w:tentative="1">
      <w:start w:val="1"/>
      <w:numFmt w:val="bullet"/>
      <w:lvlText w:val="o"/>
      <w:lvlJc w:val="left"/>
      <w:pPr>
        <w:ind w:left="3600" w:hanging="360"/>
      </w:pPr>
      <w:rPr>
        <w:rFonts w:ascii="Courier New" w:hAnsi="Courier New" w:cs="Courier New" w:hint="default"/>
      </w:rPr>
    </w:lvl>
    <w:lvl w:ilvl="5" w:tplc="37FC48D0" w:tentative="1">
      <w:start w:val="1"/>
      <w:numFmt w:val="bullet"/>
      <w:lvlText w:val=""/>
      <w:lvlJc w:val="left"/>
      <w:pPr>
        <w:ind w:left="4320" w:hanging="360"/>
      </w:pPr>
      <w:rPr>
        <w:rFonts w:ascii="Wingdings" w:hAnsi="Wingdings" w:hint="default"/>
      </w:rPr>
    </w:lvl>
    <w:lvl w:ilvl="6" w:tplc="AF861672" w:tentative="1">
      <w:start w:val="1"/>
      <w:numFmt w:val="bullet"/>
      <w:lvlText w:val=""/>
      <w:lvlJc w:val="left"/>
      <w:pPr>
        <w:ind w:left="5040" w:hanging="360"/>
      </w:pPr>
      <w:rPr>
        <w:rFonts w:ascii="Symbol" w:hAnsi="Symbol" w:hint="default"/>
      </w:rPr>
    </w:lvl>
    <w:lvl w:ilvl="7" w:tplc="695694E0" w:tentative="1">
      <w:start w:val="1"/>
      <w:numFmt w:val="bullet"/>
      <w:lvlText w:val="o"/>
      <w:lvlJc w:val="left"/>
      <w:pPr>
        <w:ind w:left="5760" w:hanging="360"/>
      </w:pPr>
      <w:rPr>
        <w:rFonts w:ascii="Courier New" w:hAnsi="Courier New" w:cs="Courier New" w:hint="default"/>
      </w:rPr>
    </w:lvl>
    <w:lvl w:ilvl="8" w:tplc="C0340826" w:tentative="1">
      <w:start w:val="1"/>
      <w:numFmt w:val="bullet"/>
      <w:lvlText w:val=""/>
      <w:lvlJc w:val="left"/>
      <w:pPr>
        <w:ind w:left="6480" w:hanging="360"/>
      </w:pPr>
      <w:rPr>
        <w:rFonts w:ascii="Wingdings" w:hAnsi="Wingdings" w:hint="default"/>
      </w:rPr>
    </w:lvl>
  </w:abstractNum>
  <w:abstractNum w:abstractNumId="7" w15:restartNumberingAfterBreak="0">
    <w:nsid w:val="30747CEA"/>
    <w:multiLevelType w:val="hybridMultilevel"/>
    <w:tmpl w:val="FABECCEE"/>
    <w:lvl w:ilvl="0" w:tplc="9BEE8388">
      <w:start w:val="1"/>
      <w:numFmt w:val="bullet"/>
      <w:lvlText w:val=""/>
      <w:lvlJc w:val="left"/>
      <w:pPr>
        <w:ind w:left="760" w:hanging="360"/>
      </w:pPr>
      <w:rPr>
        <w:rFonts w:ascii="Symbol" w:hAnsi="Symbol" w:hint="default"/>
      </w:rPr>
    </w:lvl>
    <w:lvl w:ilvl="1" w:tplc="97FC1732" w:tentative="1">
      <w:start w:val="1"/>
      <w:numFmt w:val="bullet"/>
      <w:lvlText w:val="o"/>
      <w:lvlJc w:val="left"/>
      <w:pPr>
        <w:ind w:left="1480" w:hanging="360"/>
      </w:pPr>
      <w:rPr>
        <w:rFonts w:ascii="Courier New" w:hAnsi="Courier New" w:cs="Courier New" w:hint="default"/>
      </w:rPr>
    </w:lvl>
    <w:lvl w:ilvl="2" w:tplc="1ED8A94E" w:tentative="1">
      <w:start w:val="1"/>
      <w:numFmt w:val="bullet"/>
      <w:lvlText w:val=""/>
      <w:lvlJc w:val="left"/>
      <w:pPr>
        <w:ind w:left="2200" w:hanging="360"/>
      </w:pPr>
      <w:rPr>
        <w:rFonts w:ascii="Wingdings" w:hAnsi="Wingdings" w:hint="default"/>
      </w:rPr>
    </w:lvl>
    <w:lvl w:ilvl="3" w:tplc="B8E4A226" w:tentative="1">
      <w:start w:val="1"/>
      <w:numFmt w:val="bullet"/>
      <w:lvlText w:val=""/>
      <w:lvlJc w:val="left"/>
      <w:pPr>
        <w:ind w:left="2920" w:hanging="360"/>
      </w:pPr>
      <w:rPr>
        <w:rFonts w:ascii="Symbol" w:hAnsi="Symbol" w:hint="default"/>
      </w:rPr>
    </w:lvl>
    <w:lvl w:ilvl="4" w:tplc="25C09608" w:tentative="1">
      <w:start w:val="1"/>
      <w:numFmt w:val="bullet"/>
      <w:lvlText w:val="o"/>
      <w:lvlJc w:val="left"/>
      <w:pPr>
        <w:ind w:left="3640" w:hanging="360"/>
      </w:pPr>
      <w:rPr>
        <w:rFonts w:ascii="Courier New" w:hAnsi="Courier New" w:cs="Courier New" w:hint="default"/>
      </w:rPr>
    </w:lvl>
    <w:lvl w:ilvl="5" w:tplc="577EFE84" w:tentative="1">
      <w:start w:val="1"/>
      <w:numFmt w:val="bullet"/>
      <w:lvlText w:val=""/>
      <w:lvlJc w:val="left"/>
      <w:pPr>
        <w:ind w:left="4360" w:hanging="360"/>
      </w:pPr>
      <w:rPr>
        <w:rFonts w:ascii="Wingdings" w:hAnsi="Wingdings" w:hint="default"/>
      </w:rPr>
    </w:lvl>
    <w:lvl w:ilvl="6" w:tplc="CCA8BEAA" w:tentative="1">
      <w:start w:val="1"/>
      <w:numFmt w:val="bullet"/>
      <w:lvlText w:val=""/>
      <w:lvlJc w:val="left"/>
      <w:pPr>
        <w:ind w:left="5080" w:hanging="360"/>
      </w:pPr>
      <w:rPr>
        <w:rFonts w:ascii="Symbol" w:hAnsi="Symbol" w:hint="default"/>
      </w:rPr>
    </w:lvl>
    <w:lvl w:ilvl="7" w:tplc="34E241F6" w:tentative="1">
      <w:start w:val="1"/>
      <w:numFmt w:val="bullet"/>
      <w:lvlText w:val="o"/>
      <w:lvlJc w:val="left"/>
      <w:pPr>
        <w:ind w:left="5800" w:hanging="360"/>
      </w:pPr>
      <w:rPr>
        <w:rFonts w:ascii="Courier New" w:hAnsi="Courier New" w:cs="Courier New" w:hint="default"/>
      </w:rPr>
    </w:lvl>
    <w:lvl w:ilvl="8" w:tplc="E0163BD6" w:tentative="1">
      <w:start w:val="1"/>
      <w:numFmt w:val="bullet"/>
      <w:lvlText w:val=""/>
      <w:lvlJc w:val="left"/>
      <w:pPr>
        <w:ind w:left="6520" w:hanging="360"/>
      </w:pPr>
      <w:rPr>
        <w:rFonts w:ascii="Wingdings" w:hAnsi="Wingdings" w:hint="default"/>
      </w:rPr>
    </w:lvl>
  </w:abstractNum>
  <w:abstractNum w:abstractNumId="8" w15:restartNumberingAfterBreak="0">
    <w:nsid w:val="31985E1B"/>
    <w:multiLevelType w:val="hybridMultilevel"/>
    <w:tmpl w:val="0ADCE9B8"/>
    <w:lvl w:ilvl="0" w:tplc="58285DCE">
      <w:start w:val="1"/>
      <w:numFmt w:val="bullet"/>
      <w:lvlText w:val=""/>
      <w:lvlJc w:val="left"/>
      <w:pPr>
        <w:ind w:left="714" w:hanging="360"/>
      </w:pPr>
      <w:rPr>
        <w:rFonts w:ascii="Symbol" w:hAnsi="Symbol" w:hint="default"/>
      </w:rPr>
    </w:lvl>
    <w:lvl w:ilvl="1" w:tplc="26F255E6">
      <w:start w:val="1"/>
      <w:numFmt w:val="bullet"/>
      <w:lvlText w:val="o"/>
      <w:lvlJc w:val="left"/>
      <w:pPr>
        <w:ind w:left="1434" w:hanging="360"/>
      </w:pPr>
      <w:rPr>
        <w:rFonts w:ascii="Courier New" w:hAnsi="Courier New" w:cs="Courier New" w:hint="default"/>
      </w:rPr>
    </w:lvl>
    <w:lvl w:ilvl="2" w:tplc="BE8C759E">
      <w:start w:val="1"/>
      <w:numFmt w:val="bullet"/>
      <w:lvlText w:val=""/>
      <w:lvlJc w:val="left"/>
      <w:pPr>
        <w:ind w:left="2154" w:hanging="360"/>
      </w:pPr>
      <w:rPr>
        <w:rFonts w:ascii="Wingdings" w:hAnsi="Wingdings" w:hint="default"/>
      </w:rPr>
    </w:lvl>
    <w:lvl w:ilvl="3" w:tplc="CC38FD2E" w:tentative="1">
      <w:start w:val="1"/>
      <w:numFmt w:val="bullet"/>
      <w:lvlText w:val=""/>
      <w:lvlJc w:val="left"/>
      <w:pPr>
        <w:ind w:left="2874" w:hanging="360"/>
      </w:pPr>
      <w:rPr>
        <w:rFonts w:ascii="Symbol" w:hAnsi="Symbol" w:hint="default"/>
      </w:rPr>
    </w:lvl>
    <w:lvl w:ilvl="4" w:tplc="9A0070CE" w:tentative="1">
      <w:start w:val="1"/>
      <w:numFmt w:val="bullet"/>
      <w:lvlText w:val="o"/>
      <w:lvlJc w:val="left"/>
      <w:pPr>
        <w:ind w:left="3594" w:hanging="360"/>
      </w:pPr>
      <w:rPr>
        <w:rFonts w:ascii="Courier New" w:hAnsi="Courier New" w:cs="Courier New" w:hint="default"/>
      </w:rPr>
    </w:lvl>
    <w:lvl w:ilvl="5" w:tplc="E6F84CEC" w:tentative="1">
      <w:start w:val="1"/>
      <w:numFmt w:val="bullet"/>
      <w:lvlText w:val=""/>
      <w:lvlJc w:val="left"/>
      <w:pPr>
        <w:ind w:left="4314" w:hanging="360"/>
      </w:pPr>
      <w:rPr>
        <w:rFonts w:ascii="Wingdings" w:hAnsi="Wingdings" w:hint="default"/>
      </w:rPr>
    </w:lvl>
    <w:lvl w:ilvl="6" w:tplc="89B0B328" w:tentative="1">
      <w:start w:val="1"/>
      <w:numFmt w:val="bullet"/>
      <w:lvlText w:val=""/>
      <w:lvlJc w:val="left"/>
      <w:pPr>
        <w:ind w:left="5034" w:hanging="360"/>
      </w:pPr>
      <w:rPr>
        <w:rFonts w:ascii="Symbol" w:hAnsi="Symbol" w:hint="default"/>
      </w:rPr>
    </w:lvl>
    <w:lvl w:ilvl="7" w:tplc="71FA1AE6" w:tentative="1">
      <w:start w:val="1"/>
      <w:numFmt w:val="bullet"/>
      <w:lvlText w:val="o"/>
      <w:lvlJc w:val="left"/>
      <w:pPr>
        <w:ind w:left="5754" w:hanging="360"/>
      </w:pPr>
      <w:rPr>
        <w:rFonts w:ascii="Courier New" w:hAnsi="Courier New" w:cs="Courier New" w:hint="default"/>
      </w:rPr>
    </w:lvl>
    <w:lvl w:ilvl="8" w:tplc="654CB572" w:tentative="1">
      <w:start w:val="1"/>
      <w:numFmt w:val="bullet"/>
      <w:lvlText w:val=""/>
      <w:lvlJc w:val="left"/>
      <w:pPr>
        <w:ind w:left="6474" w:hanging="360"/>
      </w:pPr>
      <w:rPr>
        <w:rFonts w:ascii="Wingdings" w:hAnsi="Wingdings" w:hint="default"/>
      </w:rPr>
    </w:lvl>
  </w:abstractNum>
  <w:abstractNum w:abstractNumId="9" w15:restartNumberingAfterBreak="0">
    <w:nsid w:val="355115E2"/>
    <w:multiLevelType w:val="hybridMultilevel"/>
    <w:tmpl w:val="8B802436"/>
    <w:lvl w:ilvl="0" w:tplc="C966CF4A">
      <w:start w:val="1"/>
      <w:numFmt w:val="bullet"/>
      <w:lvlText w:val=""/>
      <w:lvlJc w:val="left"/>
      <w:pPr>
        <w:ind w:left="720" w:hanging="360"/>
      </w:pPr>
      <w:rPr>
        <w:rFonts w:ascii="Symbol" w:hAnsi="Symbol" w:hint="default"/>
      </w:rPr>
    </w:lvl>
    <w:lvl w:ilvl="1" w:tplc="BEF2ED4A" w:tentative="1">
      <w:start w:val="1"/>
      <w:numFmt w:val="bullet"/>
      <w:lvlText w:val="o"/>
      <w:lvlJc w:val="left"/>
      <w:pPr>
        <w:ind w:left="1440" w:hanging="360"/>
      </w:pPr>
      <w:rPr>
        <w:rFonts w:ascii="Courier New" w:hAnsi="Courier New" w:cs="Courier New" w:hint="default"/>
      </w:rPr>
    </w:lvl>
    <w:lvl w:ilvl="2" w:tplc="E15E6684" w:tentative="1">
      <w:start w:val="1"/>
      <w:numFmt w:val="bullet"/>
      <w:lvlText w:val=""/>
      <w:lvlJc w:val="left"/>
      <w:pPr>
        <w:ind w:left="2160" w:hanging="360"/>
      </w:pPr>
      <w:rPr>
        <w:rFonts w:ascii="Wingdings" w:hAnsi="Wingdings" w:hint="default"/>
      </w:rPr>
    </w:lvl>
    <w:lvl w:ilvl="3" w:tplc="4EE0517A" w:tentative="1">
      <w:start w:val="1"/>
      <w:numFmt w:val="bullet"/>
      <w:lvlText w:val=""/>
      <w:lvlJc w:val="left"/>
      <w:pPr>
        <w:ind w:left="2880" w:hanging="360"/>
      </w:pPr>
      <w:rPr>
        <w:rFonts w:ascii="Symbol" w:hAnsi="Symbol" w:hint="default"/>
      </w:rPr>
    </w:lvl>
    <w:lvl w:ilvl="4" w:tplc="388804DE" w:tentative="1">
      <w:start w:val="1"/>
      <w:numFmt w:val="bullet"/>
      <w:lvlText w:val="o"/>
      <w:lvlJc w:val="left"/>
      <w:pPr>
        <w:ind w:left="3600" w:hanging="360"/>
      </w:pPr>
      <w:rPr>
        <w:rFonts w:ascii="Courier New" w:hAnsi="Courier New" w:cs="Courier New" w:hint="default"/>
      </w:rPr>
    </w:lvl>
    <w:lvl w:ilvl="5" w:tplc="066CC024" w:tentative="1">
      <w:start w:val="1"/>
      <w:numFmt w:val="bullet"/>
      <w:lvlText w:val=""/>
      <w:lvlJc w:val="left"/>
      <w:pPr>
        <w:ind w:left="4320" w:hanging="360"/>
      </w:pPr>
      <w:rPr>
        <w:rFonts w:ascii="Wingdings" w:hAnsi="Wingdings" w:hint="default"/>
      </w:rPr>
    </w:lvl>
    <w:lvl w:ilvl="6" w:tplc="C1E85F02" w:tentative="1">
      <w:start w:val="1"/>
      <w:numFmt w:val="bullet"/>
      <w:lvlText w:val=""/>
      <w:lvlJc w:val="left"/>
      <w:pPr>
        <w:ind w:left="5040" w:hanging="360"/>
      </w:pPr>
      <w:rPr>
        <w:rFonts w:ascii="Symbol" w:hAnsi="Symbol" w:hint="default"/>
      </w:rPr>
    </w:lvl>
    <w:lvl w:ilvl="7" w:tplc="32AAFAC6" w:tentative="1">
      <w:start w:val="1"/>
      <w:numFmt w:val="bullet"/>
      <w:lvlText w:val="o"/>
      <w:lvlJc w:val="left"/>
      <w:pPr>
        <w:ind w:left="5760" w:hanging="360"/>
      </w:pPr>
      <w:rPr>
        <w:rFonts w:ascii="Courier New" w:hAnsi="Courier New" w:cs="Courier New" w:hint="default"/>
      </w:rPr>
    </w:lvl>
    <w:lvl w:ilvl="8" w:tplc="3B127AAE" w:tentative="1">
      <w:start w:val="1"/>
      <w:numFmt w:val="bullet"/>
      <w:lvlText w:val=""/>
      <w:lvlJc w:val="left"/>
      <w:pPr>
        <w:ind w:left="6480" w:hanging="360"/>
      </w:pPr>
      <w:rPr>
        <w:rFonts w:ascii="Wingdings" w:hAnsi="Wingdings" w:hint="default"/>
      </w:rPr>
    </w:lvl>
  </w:abstractNum>
  <w:abstractNum w:abstractNumId="10" w15:restartNumberingAfterBreak="0">
    <w:nsid w:val="366D389E"/>
    <w:multiLevelType w:val="hybridMultilevel"/>
    <w:tmpl w:val="408E1AAE"/>
    <w:lvl w:ilvl="0" w:tplc="BEE883A4">
      <w:numFmt w:val="bullet"/>
      <w:lvlText w:val="-"/>
      <w:lvlJc w:val="left"/>
      <w:pPr>
        <w:ind w:left="720" w:hanging="360"/>
      </w:pPr>
      <w:rPr>
        <w:rFonts w:ascii="Calibri" w:eastAsia="MS Mincho" w:hAnsi="Calibri" w:cs="Calibri" w:hint="default"/>
      </w:rPr>
    </w:lvl>
    <w:lvl w:ilvl="1" w:tplc="C45CAA4A" w:tentative="1">
      <w:start w:val="1"/>
      <w:numFmt w:val="bullet"/>
      <w:lvlText w:val="o"/>
      <w:lvlJc w:val="left"/>
      <w:pPr>
        <w:ind w:left="1440" w:hanging="360"/>
      </w:pPr>
      <w:rPr>
        <w:rFonts w:ascii="Courier New" w:hAnsi="Courier New" w:cs="Courier New" w:hint="default"/>
      </w:rPr>
    </w:lvl>
    <w:lvl w:ilvl="2" w:tplc="45FA17AC" w:tentative="1">
      <w:start w:val="1"/>
      <w:numFmt w:val="bullet"/>
      <w:lvlText w:val=""/>
      <w:lvlJc w:val="left"/>
      <w:pPr>
        <w:ind w:left="2160" w:hanging="360"/>
      </w:pPr>
      <w:rPr>
        <w:rFonts w:ascii="Wingdings" w:hAnsi="Wingdings" w:hint="default"/>
      </w:rPr>
    </w:lvl>
    <w:lvl w:ilvl="3" w:tplc="95F0A2C0" w:tentative="1">
      <w:start w:val="1"/>
      <w:numFmt w:val="bullet"/>
      <w:lvlText w:val=""/>
      <w:lvlJc w:val="left"/>
      <w:pPr>
        <w:ind w:left="2880" w:hanging="360"/>
      </w:pPr>
      <w:rPr>
        <w:rFonts w:ascii="Symbol" w:hAnsi="Symbol" w:hint="default"/>
      </w:rPr>
    </w:lvl>
    <w:lvl w:ilvl="4" w:tplc="12C8D60C" w:tentative="1">
      <w:start w:val="1"/>
      <w:numFmt w:val="bullet"/>
      <w:lvlText w:val="o"/>
      <w:lvlJc w:val="left"/>
      <w:pPr>
        <w:ind w:left="3600" w:hanging="360"/>
      </w:pPr>
      <w:rPr>
        <w:rFonts w:ascii="Courier New" w:hAnsi="Courier New" w:cs="Courier New" w:hint="default"/>
      </w:rPr>
    </w:lvl>
    <w:lvl w:ilvl="5" w:tplc="06C40856" w:tentative="1">
      <w:start w:val="1"/>
      <w:numFmt w:val="bullet"/>
      <w:lvlText w:val=""/>
      <w:lvlJc w:val="left"/>
      <w:pPr>
        <w:ind w:left="4320" w:hanging="360"/>
      </w:pPr>
      <w:rPr>
        <w:rFonts w:ascii="Wingdings" w:hAnsi="Wingdings" w:hint="default"/>
      </w:rPr>
    </w:lvl>
    <w:lvl w:ilvl="6" w:tplc="2DB61FA4" w:tentative="1">
      <w:start w:val="1"/>
      <w:numFmt w:val="bullet"/>
      <w:lvlText w:val=""/>
      <w:lvlJc w:val="left"/>
      <w:pPr>
        <w:ind w:left="5040" w:hanging="360"/>
      </w:pPr>
      <w:rPr>
        <w:rFonts w:ascii="Symbol" w:hAnsi="Symbol" w:hint="default"/>
      </w:rPr>
    </w:lvl>
    <w:lvl w:ilvl="7" w:tplc="50AA1FEA" w:tentative="1">
      <w:start w:val="1"/>
      <w:numFmt w:val="bullet"/>
      <w:lvlText w:val="o"/>
      <w:lvlJc w:val="left"/>
      <w:pPr>
        <w:ind w:left="5760" w:hanging="360"/>
      </w:pPr>
      <w:rPr>
        <w:rFonts w:ascii="Courier New" w:hAnsi="Courier New" w:cs="Courier New" w:hint="default"/>
      </w:rPr>
    </w:lvl>
    <w:lvl w:ilvl="8" w:tplc="ADD68FD2" w:tentative="1">
      <w:start w:val="1"/>
      <w:numFmt w:val="bullet"/>
      <w:lvlText w:val=""/>
      <w:lvlJc w:val="left"/>
      <w:pPr>
        <w:ind w:left="6480" w:hanging="360"/>
      </w:pPr>
      <w:rPr>
        <w:rFonts w:ascii="Wingdings" w:hAnsi="Wingdings" w:hint="default"/>
      </w:rPr>
    </w:lvl>
  </w:abstractNum>
  <w:abstractNum w:abstractNumId="11" w15:restartNumberingAfterBreak="0">
    <w:nsid w:val="3A8A0695"/>
    <w:multiLevelType w:val="hybridMultilevel"/>
    <w:tmpl w:val="89BC626A"/>
    <w:lvl w:ilvl="0" w:tplc="026C5D7E">
      <w:start w:val="1"/>
      <w:numFmt w:val="bullet"/>
      <w:lvlText w:val=""/>
      <w:lvlJc w:val="left"/>
      <w:pPr>
        <w:ind w:left="720" w:hanging="360"/>
      </w:pPr>
      <w:rPr>
        <w:rFonts w:ascii="Symbol" w:hAnsi="Symbol" w:hint="default"/>
      </w:rPr>
    </w:lvl>
    <w:lvl w:ilvl="1" w:tplc="0E9A783E" w:tentative="1">
      <w:start w:val="1"/>
      <w:numFmt w:val="bullet"/>
      <w:lvlText w:val="o"/>
      <w:lvlJc w:val="left"/>
      <w:pPr>
        <w:ind w:left="1440" w:hanging="360"/>
      </w:pPr>
      <w:rPr>
        <w:rFonts w:ascii="Courier New" w:hAnsi="Courier New" w:cs="Courier New" w:hint="default"/>
      </w:rPr>
    </w:lvl>
    <w:lvl w:ilvl="2" w:tplc="77962F3A" w:tentative="1">
      <w:start w:val="1"/>
      <w:numFmt w:val="bullet"/>
      <w:lvlText w:val=""/>
      <w:lvlJc w:val="left"/>
      <w:pPr>
        <w:ind w:left="2160" w:hanging="360"/>
      </w:pPr>
      <w:rPr>
        <w:rFonts w:ascii="Wingdings" w:hAnsi="Wingdings" w:hint="default"/>
      </w:rPr>
    </w:lvl>
    <w:lvl w:ilvl="3" w:tplc="37FAED6C" w:tentative="1">
      <w:start w:val="1"/>
      <w:numFmt w:val="bullet"/>
      <w:lvlText w:val=""/>
      <w:lvlJc w:val="left"/>
      <w:pPr>
        <w:ind w:left="2880" w:hanging="360"/>
      </w:pPr>
      <w:rPr>
        <w:rFonts w:ascii="Symbol" w:hAnsi="Symbol" w:hint="default"/>
      </w:rPr>
    </w:lvl>
    <w:lvl w:ilvl="4" w:tplc="ED9AB21A" w:tentative="1">
      <w:start w:val="1"/>
      <w:numFmt w:val="bullet"/>
      <w:lvlText w:val="o"/>
      <w:lvlJc w:val="left"/>
      <w:pPr>
        <w:ind w:left="3600" w:hanging="360"/>
      </w:pPr>
      <w:rPr>
        <w:rFonts w:ascii="Courier New" w:hAnsi="Courier New" w:cs="Courier New" w:hint="default"/>
      </w:rPr>
    </w:lvl>
    <w:lvl w:ilvl="5" w:tplc="FBF8DF26" w:tentative="1">
      <w:start w:val="1"/>
      <w:numFmt w:val="bullet"/>
      <w:lvlText w:val=""/>
      <w:lvlJc w:val="left"/>
      <w:pPr>
        <w:ind w:left="4320" w:hanging="360"/>
      </w:pPr>
      <w:rPr>
        <w:rFonts w:ascii="Wingdings" w:hAnsi="Wingdings" w:hint="default"/>
      </w:rPr>
    </w:lvl>
    <w:lvl w:ilvl="6" w:tplc="39FC04D6" w:tentative="1">
      <w:start w:val="1"/>
      <w:numFmt w:val="bullet"/>
      <w:lvlText w:val=""/>
      <w:lvlJc w:val="left"/>
      <w:pPr>
        <w:ind w:left="5040" w:hanging="360"/>
      </w:pPr>
      <w:rPr>
        <w:rFonts w:ascii="Symbol" w:hAnsi="Symbol" w:hint="default"/>
      </w:rPr>
    </w:lvl>
    <w:lvl w:ilvl="7" w:tplc="C7524B56" w:tentative="1">
      <w:start w:val="1"/>
      <w:numFmt w:val="bullet"/>
      <w:lvlText w:val="o"/>
      <w:lvlJc w:val="left"/>
      <w:pPr>
        <w:ind w:left="5760" w:hanging="360"/>
      </w:pPr>
      <w:rPr>
        <w:rFonts w:ascii="Courier New" w:hAnsi="Courier New" w:cs="Courier New" w:hint="default"/>
      </w:rPr>
    </w:lvl>
    <w:lvl w:ilvl="8" w:tplc="740ED256" w:tentative="1">
      <w:start w:val="1"/>
      <w:numFmt w:val="bullet"/>
      <w:lvlText w:val=""/>
      <w:lvlJc w:val="left"/>
      <w:pPr>
        <w:ind w:left="6480" w:hanging="360"/>
      </w:pPr>
      <w:rPr>
        <w:rFonts w:ascii="Wingdings" w:hAnsi="Wingdings" w:hint="default"/>
      </w:rPr>
    </w:lvl>
  </w:abstractNum>
  <w:abstractNum w:abstractNumId="12" w15:restartNumberingAfterBreak="0">
    <w:nsid w:val="3CDE4196"/>
    <w:multiLevelType w:val="hybridMultilevel"/>
    <w:tmpl w:val="B642877A"/>
    <w:lvl w:ilvl="0" w:tplc="1614646A">
      <w:start w:val="1"/>
      <w:numFmt w:val="bullet"/>
      <w:lvlText w:val=""/>
      <w:lvlJc w:val="left"/>
      <w:pPr>
        <w:ind w:left="720" w:hanging="360"/>
      </w:pPr>
      <w:rPr>
        <w:rFonts w:ascii="Symbol" w:hAnsi="Symbol" w:hint="default"/>
      </w:rPr>
    </w:lvl>
    <w:lvl w:ilvl="1" w:tplc="C24A1E32" w:tentative="1">
      <w:start w:val="1"/>
      <w:numFmt w:val="bullet"/>
      <w:lvlText w:val="o"/>
      <w:lvlJc w:val="left"/>
      <w:pPr>
        <w:ind w:left="1440" w:hanging="360"/>
      </w:pPr>
      <w:rPr>
        <w:rFonts w:ascii="Courier New" w:hAnsi="Courier New" w:cs="Courier New" w:hint="default"/>
      </w:rPr>
    </w:lvl>
    <w:lvl w:ilvl="2" w:tplc="C3540F46" w:tentative="1">
      <w:start w:val="1"/>
      <w:numFmt w:val="bullet"/>
      <w:lvlText w:val=""/>
      <w:lvlJc w:val="left"/>
      <w:pPr>
        <w:ind w:left="2160" w:hanging="360"/>
      </w:pPr>
      <w:rPr>
        <w:rFonts w:ascii="Wingdings" w:hAnsi="Wingdings" w:hint="default"/>
      </w:rPr>
    </w:lvl>
    <w:lvl w:ilvl="3" w:tplc="72127504" w:tentative="1">
      <w:start w:val="1"/>
      <w:numFmt w:val="bullet"/>
      <w:lvlText w:val=""/>
      <w:lvlJc w:val="left"/>
      <w:pPr>
        <w:ind w:left="2880" w:hanging="360"/>
      </w:pPr>
      <w:rPr>
        <w:rFonts w:ascii="Symbol" w:hAnsi="Symbol" w:hint="default"/>
      </w:rPr>
    </w:lvl>
    <w:lvl w:ilvl="4" w:tplc="7BF6FC88" w:tentative="1">
      <w:start w:val="1"/>
      <w:numFmt w:val="bullet"/>
      <w:lvlText w:val="o"/>
      <w:lvlJc w:val="left"/>
      <w:pPr>
        <w:ind w:left="3600" w:hanging="360"/>
      </w:pPr>
      <w:rPr>
        <w:rFonts w:ascii="Courier New" w:hAnsi="Courier New" w:cs="Courier New" w:hint="default"/>
      </w:rPr>
    </w:lvl>
    <w:lvl w:ilvl="5" w:tplc="ADB8FAA8" w:tentative="1">
      <w:start w:val="1"/>
      <w:numFmt w:val="bullet"/>
      <w:lvlText w:val=""/>
      <w:lvlJc w:val="left"/>
      <w:pPr>
        <w:ind w:left="4320" w:hanging="360"/>
      </w:pPr>
      <w:rPr>
        <w:rFonts w:ascii="Wingdings" w:hAnsi="Wingdings" w:hint="default"/>
      </w:rPr>
    </w:lvl>
    <w:lvl w:ilvl="6" w:tplc="C7942CCE" w:tentative="1">
      <w:start w:val="1"/>
      <w:numFmt w:val="bullet"/>
      <w:lvlText w:val=""/>
      <w:lvlJc w:val="left"/>
      <w:pPr>
        <w:ind w:left="5040" w:hanging="360"/>
      </w:pPr>
      <w:rPr>
        <w:rFonts w:ascii="Symbol" w:hAnsi="Symbol" w:hint="default"/>
      </w:rPr>
    </w:lvl>
    <w:lvl w:ilvl="7" w:tplc="40BE3B4C" w:tentative="1">
      <w:start w:val="1"/>
      <w:numFmt w:val="bullet"/>
      <w:lvlText w:val="o"/>
      <w:lvlJc w:val="left"/>
      <w:pPr>
        <w:ind w:left="5760" w:hanging="360"/>
      </w:pPr>
      <w:rPr>
        <w:rFonts w:ascii="Courier New" w:hAnsi="Courier New" w:cs="Courier New" w:hint="default"/>
      </w:rPr>
    </w:lvl>
    <w:lvl w:ilvl="8" w:tplc="3B44EA9C" w:tentative="1">
      <w:start w:val="1"/>
      <w:numFmt w:val="bullet"/>
      <w:lvlText w:val=""/>
      <w:lvlJc w:val="left"/>
      <w:pPr>
        <w:ind w:left="6480" w:hanging="360"/>
      </w:pPr>
      <w:rPr>
        <w:rFonts w:ascii="Wingdings" w:hAnsi="Wingdings" w:hint="default"/>
      </w:rPr>
    </w:lvl>
  </w:abstractNum>
  <w:abstractNum w:abstractNumId="13" w15:restartNumberingAfterBreak="0">
    <w:nsid w:val="3D8B4B1B"/>
    <w:multiLevelType w:val="hybridMultilevel"/>
    <w:tmpl w:val="C65AFCBE"/>
    <w:lvl w:ilvl="0" w:tplc="54AE1732">
      <w:start w:val="1"/>
      <w:numFmt w:val="bullet"/>
      <w:lvlText w:val=""/>
      <w:lvlJc w:val="left"/>
      <w:pPr>
        <w:ind w:left="720" w:hanging="360"/>
      </w:pPr>
      <w:rPr>
        <w:rFonts w:ascii="Symbol" w:hAnsi="Symbol" w:hint="default"/>
      </w:rPr>
    </w:lvl>
    <w:lvl w:ilvl="1" w:tplc="61F421AA" w:tentative="1">
      <w:start w:val="1"/>
      <w:numFmt w:val="bullet"/>
      <w:lvlText w:val="o"/>
      <w:lvlJc w:val="left"/>
      <w:pPr>
        <w:ind w:left="1440" w:hanging="360"/>
      </w:pPr>
      <w:rPr>
        <w:rFonts w:ascii="Courier New" w:hAnsi="Courier New" w:cs="Courier New" w:hint="default"/>
      </w:rPr>
    </w:lvl>
    <w:lvl w:ilvl="2" w:tplc="D39EEE86" w:tentative="1">
      <w:start w:val="1"/>
      <w:numFmt w:val="bullet"/>
      <w:lvlText w:val=""/>
      <w:lvlJc w:val="left"/>
      <w:pPr>
        <w:ind w:left="2160" w:hanging="360"/>
      </w:pPr>
      <w:rPr>
        <w:rFonts w:ascii="Wingdings" w:hAnsi="Wingdings" w:hint="default"/>
      </w:rPr>
    </w:lvl>
    <w:lvl w:ilvl="3" w:tplc="09A8EF80" w:tentative="1">
      <w:start w:val="1"/>
      <w:numFmt w:val="bullet"/>
      <w:lvlText w:val=""/>
      <w:lvlJc w:val="left"/>
      <w:pPr>
        <w:ind w:left="2880" w:hanging="360"/>
      </w:pPr>
      <w:rPr>
        <w:rFonts w:ascii="Symbol" w:hAnsi="Symbol" w:hint="default"/>
      </w:rPr>
    </w:lvl>
    <w:lvl w:ilvl="4" w:tplc="CB26E64E" w:tentative="1">
      <w:start w:val="1"/>
      <w:numFmt w:val="bullet"/>
      <w:lvlText w:val="o"/>
      <w:lvlJc w:val="left"/>
      <w:pPr>
        <w:ind w:left="3600" w:hanging="360"/>
      </w:pPr>
      <w:rPr>
        <w:rFonts w:ascii="Courier New" w:hAnsi="Courier New" w:cs="Courier New" w:hint="default"/>
      </w:rPr>
    </w:lvl>
    <w:lvl w:ilvl="5" w:tplc="CDC8000E" w:tentative="1">
      <w:start w:val="1"/>
      <w:numFmt w:val="bullet"/>
      <w:lvlText w:val=""/>
      <w:lvlJc w:val="left"/>
      <w:pPr>
        <w:ind w:left="4320" w:hanging="360"/>
      </w:pPr>
      <w:rPr>
        <w:rFonts w:ascii="Wingdings" w:hAnsi="Wingdings" w:hint="default"/>
      </w:rPr>
    </w:lvl>
    <w:lvl w:ilvl="6" w:tplc="8A3C82D0" w:tentative="1">
      <w:start w:val="1"/>
      <w:numFmt w:val="bullet"/>
      <w:lvlText w:val=""/>
      <w:lvlJc w:val="left"/>
      <w:pPr>
        <w:ind w:left="5040" w:hanging="360"/>
      </w:pPr>
      <w:rPr>
        <w:rFonts w:ascii="Symbol" w:hAnsi="Symbol" w:hint="default"/>
      </w:rPr>
    </w:lvl>
    <w:lvl w:ilvl="7" w:tplc="CDE6765C" w:tentative="1">
      <w:start w:val="1"/>
      <w:numFmt w:val="bullet"/>
      <w:lvlText w:val="o"/>
      <w:lvlJc w:val="left"/>
      <w:pPr>
        <w:ind w:left="5760" w:hanging="360"/>
      </w:pPr>
      <w:rPr>
        <w:rFonts w:ascii="Courier New" w:hAnsi="Courier New" w:cs="Courier New" w:hint="default"/>
      </w:rPr>
    </w:lvl>
    <w:lvl w:ilvl="8" w:tplc="1A82675A" w:tentative="1">
      <w:start w:val="1"/>
      <w:numFmt w:val="bullet"/>
      <w:lvlText w:val=""/>
      <w:lvlJc w:val="left"/>
      <w:pPr>
        <w:ind w:left="6480" w:hanging="360"/>
      </w:pPr>
      <w:rPr>
        <w:rFonts w:ascii="Wingdings" w:hAnsi="Wingdings" w:hint="default"/>
      </w:rPr>
    </w:lvl>
  </w:abstractNum>
  <w:abstractNum w:abstractNumId="14" w15:restartNumberingAfterBreak="0">
    <w:nsid w:val="410F1718"/>
    <w:multiLevelType w:val="hybridMultilevel"/>
    <w:tmpl w:val="370C28B8"/>
    <w:lvl w:ilvl="0" w:tplc="6CA211E2">
      <w:start w:val="1"/>
      <w:numFmt w:val="bullet"/>
      <w:lvlText w:val=""/>
      <w:lvlJc w:val="left"/>
      <w:pPr>
        <w:ind w:left="720" w:hanging="360"/>
      </w:pPr>
      <w:rPr>
        <w:rFonts w:ascii="Symbol" w:hAnsi="Symbol" w:hint="default"/>
      </w:rPr>
    </w:lvl>
    <w:lvl w:ilvl="1" w:tplc="7180ACCC" w:tentative="1">
      <w:start w:val="1"/>
      <w:numFmt w:val="bullet"/>
      <w:lvlText w:val="o"/>
      <w:lvlJc w:val="left"/>
      <w:pPr>
        <w:ind w:left="1440" w:hanging="360"/>
      </w:pPr>
      <w:rPr>
        <w:rFonts w:ascii="Courier New" w:hAnsi="Courier New" w:cs="Courier New" w:hint="default"/>
      </w:rPr>
    </w:lvl>
    <w:lvl w:ilvl="2" w:tplc="95009E5C" w:tentative="1">
      <w:start w:val="1"/>
      <w:numFmt w:val="bullet"/>
      <w:lvlText w:val=""/>
      <w:lvlJc w:val="left"/>
      <w:pPr>
        <w:ind w:left="2160" w:hanging="360"/>
      </w:pPr>
      <w:rPr>
        <w:rFonts w:ascii="Wingdings" w:hAnsi="Wingdings" w:hint="default"/>
      </w:rPr>
    </w:lvl>
    <w:lvl w:ilvl="3" w:tplc="BB3A5356" w:tentative="1">
      <w:start w:val="1"/>
      <w:numFmt w:val="bullet"/>
      <w:lvlText w:val=""/>
      <w:lvlJc w:val="left"/>
      <w:pPr>
        <w:ind w:left="2880" w:hanging="360"/>
      </w:pPr>
      <w:rPr>
        <w:rFonts w:ascii="Symbol" w:hAnsi="Symbol" w:hint="default"/>
      </w:rPr>
    </w:lvl>
    <w:lvl w:ilvl="4" w:tplc="8D546272" w:tentative="1">
      <w:start w:val="1"/>
      <w:numFmt w:val="bullet"/>
      <w:lvlText w:val="o"/>
      <w:lvlJc w:val="left"/>
      <w:pPr>
        <w:ind w:left="3600" w:hanging="360"/>
      </w:pPr>
      <w:rPr>
        <w:rFonts w:ascii="Courier New" w:hAnsi="Courier New" w:cs="Courier New" w:hint="default"/>
      </w:rPr>
    </w:lvl>
    <w:lvl w:ilvl="5" w:tplc="1A9640B6" w:tentative="1">
      <w:start w:val="1"/>
      <w:numFmt w:val="bullet"/>
      <w:lvlText w:val=""/>
      <w:lvlJc w:val="left"/>
      <w:pPr>
        <w:ind w:left="4320" w:hanging="360"/>
      </w:pPr>
      <w:rPr>
        <w:rFonts w:ascii="Wingdings" w:hAnsi="Wingdings" w:hint="default"/>
      </w:rPr>
    </w:lvl>
    <w:lvl w:ilvl="6" w:tplc="12746BF6" w:tentative="1">
      <w:start w:val="1"/>
      <w:numFmt w:val="bullet"/>
      <w:lvlText w:val=""/>
      <w:lvlJc w:val="left"/>
      <w:pPr>
        <w:ind w:left="5040" w:hanging="360"/>
      </w:pPr>
      <w:rPr>
        <w:rFonts w:ascii="Symbol" w:hAnsi="Symbol" w:hint="default"/>
      </w:rPr>
    </w:lvl>
    <w:lvl w:ilvl="7" w:tplc="427E6406" w:tentative="1">
      <w:start w:val="1"/>
      <w:numFmt w:val="bullet"/>
      <w:lvlText w:val="o"/>
      <w:lvlJc w:val="left"/>
      <w:pPr>
        <w:ind w:left="5760" w:hanging="360"/>
      </w:pPr>
      <w:rPr>
        <w:rFonts w:ascii="Courier New" w:hAnsi="Courier New" w:cs="Courier New" w:hint="default"/>
      </w:rPr>
    </w:lvl>
    <w:lvl w:ilvl="8" w:tplc="AB5680BA" w:tentative="1">
      <w:start w:val="1"/>
      <w:numFmt w:val="bullet"/>
      <w:lvlText w:val=""/>
      <w:lvlJc w:val="left"/>
      <w:pPr>
        <w:ind w:left="6480" w:hanging="360"/>
      </w:pPr>
      <w:rPr>
        <w:rFonts w:ascii="Wingdings" w:hAnsi="Wingdings" w:hint="default"/>
      </w:rPr>
    </w:lvl>
  </w:abstractNum>
  <w:abstractNum w:abstractNumId="15" w15:restartNumberingAfterBreak="0">
    <w:nsid w:val="4AEF7BAB"/>
    <w:multiLevelType w:val="hybridMultilevel"/>
    <w:tmpl w:val="A83E0286"/>
    <w:lvl w:ilvl="0" w:tplc="39806832">
      <w:start w:val="1"/>
      <w:numFmt w:val="bullet"/>
      <w:lvlText w:val=""/>
      <w:lvlJc w:val="left"/>
      <w:pPr>
        <w:ind w:left="720" w:hanging="360"/>
      </w:pPr>
      <w:rPr>
        <w:rFonts w:ascii="Symbol" w:hAnsi="Symbol" w:hint="default"/>
      </w:rPr>
    </w:lvl>
    <w:lvl w:ilvl="1" w:tplc="B046E148" w:tentative="1">
      <w:start w:val="1"/>
      <w:numFmt w:val="bullet"/>
      <w:lvlText w:val="o"/>
      <w:lvlJc w:val="left"/>
      <w:pPr>
        <w:ind w:left="1440" w:hanging="360"/>
      </w:pPr>
      <w:rPr>
        <w:rFonts w:ascii="Courier New" w:hAnsi="Courier New" w:cs="Courier New" w:hint="default"/>
      </w:rPr>
    </w:lvl>
    <w:lvl w:ilvl="2" w:tplc="1EE81BC6" w:tentative="1">
      <w:start w:val="1"/>
      <w:numFmt w:val="bullet"/>
      <w:lvlText w:val=""/>
      <w:lvlJc w:val="left"/>
      <w:pPr>
        <w:ind w:left="2160" w:hanging="360"/>
      </w:pPr>
      <w:rPr>
        <w:rFonts w:ascii="Wingdings" w:hAnsi="Wingdings" w:hint="default"/>
      </w:rPr>
    </w:lvl>
    <w:lvl w:ilvl="3" w:tplc="EF4A8EE6" w:tentative="1">
      <w:start w:val="1"/>
      <w:numFmt w:val="bullet"/>
      <w:lvlText w:val=""/>
      <w:lvlJc w:val="left"/>
      <w:pPr>
        <w:ind w:left="2880" w:hanging="360"/>
      </w:pPr>
      <w:rPr>
        <w:rFonts w:ascii="Symbol" w:hAnsi="Symbol" w:hint="default"/>
      </w:rPr>
    </w:lvl>
    <w:lvl w:ilvl="4" w:tplc="B97E9A1C" w:tentative="1">
      <w:start w:val="1"/>
      <w:numFmt w:val="bullet"/>
      <w:lvlText w:val="o"/>
      <w:lvlJc w:val="left"/>
      <w:pPr>
        <w:ind w:left="3600" w:hanging="360"/>
      </w:pPr>
      <w:rPr>
        <w:rFonts w:ascii="Courier New" w:hAnsi="Courier New" w:cs="Courier New" w:hint="default"/>
      </w:rPr>
    </w:lvl>
    <w:lvl w:ilvl="5" w:tplc="B568FFCC" w:tentative="1">
      <w:start w:val="1"/>
      <w:numFmt w:val="bullet"/>
      <w:lvlText w:val=""/>
      <w:lvlJc w:val="left"/>
      <w:pPr>
        <w:ind w:left="4320" w:hanging="360"/>
      </w:pPr>
      <w:rPr>
        <w:rFonts w:ascii="Wingdings" w:hAnsi="Wingdings" w:hint="default"/>
      </w:rPr>
    </w:lvl>
    <w:lvl w:ilvl="6" w:tplc="E188AD92" w:tentative="1">
      <w:start w:val="1"/>
      <w:numFmt w:val="bullet"/>
      <w:lvlText w:val=""/>
      <w:lvlJc w:val="left"/>
      <w:pPr>
        <w:ind w:left="5040" w:hanging="360"/>
      </w:pPr>
      <w:rPr>
        <w:rFonts w:ascii="Symbol" w:hAnsi="Symbol" w:hint="default"/>
      </w:rPr>
    </w:lvl>
    <w:lvl w:ilvl="7" w:tplc="5C58384A" w:tentative="1">
      <w:start w:val="1"/>
      <w:numFmt w:val="bullet"/>
      <w:lvlText w:val="o"/>
      <w:lvlJc w:val="left"/>
      <w:pPr>
        <w:ind w:left="5760" w:hanging="360"/>
      </w:pPr>
      <w:rPr>
        <w:rFonts w:ascii="Courier New" w:hAnsi="Courier New" w:cs="Courier New" w:hint="default"/>
      </w:rPr>
    </w:lvl>
    <w:lvl w:ilvl="8" w:tplc="BA549EAA" w:tentative="1">
      <w:start w:val="1"/>
      <w:numFmt w:val="bullet"/>
      <w:lvlText w:val=""/>
      <w:lvlJc w:val="left"/>
      <w:pPr>
        <w:ind w:left="6480" w:hanging="360"/>
      </w:pPr>
      <w:rPr>
        <w:rFonts w:ascii="Wingdings" w:hAnsi="Wingdings" w:hint="default"/>
      </w:rPr>
    </w:lvl>
  </w:abstractNum>
  <w:abstractNum w:abstractNumId="16" w15:restartNumberingAfterBreak="0">
    <w:nsid w:val="4C563528"/>
    <w:multiLevelType w:val="hybridMultilevel"/>
    <w:tmpl w:val="EF180C72"/>
    <w:lvl w:ilvl="0" w:tplc="6234F254">
      <w:start w:val="1"/>
      <w:numFmt w:val="bullet"/>
      <w:lvlText w:val=""/>
      <w:lvlJc w:val="left"/>
      <w:pPr>
        <w:ind w:left="720" w:hanging="360"/>
      </w:pPr>
      <w:rPr>
        <w:rFonts w:ascii="Symbol" w:hAnsi="Symbol" w:hint="default"/>
      </w:rPr>
    </w:lvl>
    <w:lvl w:ilvl="1" w:tplc="3F9CA078" w:tentative="1">
      <w:start w:val="1"/>
      <w:numFmt w:val="bullet"/>
      <w:lvlText w:val="o"/>
      <w:lvlJc w:val="left"/>
      <w:pPr>
        <w:ind w:left="1440" w:hanging="360"/>
      </w:pPr>
      <w:rPr>
        <w:rFonts w:ascii="Courier New" w:hAnsi="Courier New" w:cs="Courier New" w:hint="default"/>
      </w:rPr>
    </w:lvl>
    <w:lvl w:ilvl="2" w:tplc="BE3A2BD0" w:tentative="1">
      <w:start w:val="1"/>
      <w:numFmt w:val="bullet"/>
      <w:lvlText w:val=""/>
      <w:lvlJc w:val="left"/>
      <w:pPr>
        <w:ind w:left="2160" w:hanging="360"/>
      </w:pPr>
      <w:rPr>
        <w:rFonts w:ascii="Wingdings" w:hAnsi="Wingdings" w:hint="default"/>
      </w:rPr>
    </w:lvl>
    <w:lvl w:ilvl="3" w:tplc="3E2C7682" w:tentative="1">
      <w:start w:val="1"/>
      <w:numFmt w:val="bullet"/>
      <w:lvlText w:val=""/>
      <w:lvlJc w:val="left"/>
      <w:pPr>
        <w:ind w:left="2880" w:hanging="360"/>
      </w:pPr>
      <w:rPr>
        <w:rFonts w:ascii="Symbol" w:hAnsi="Symbol" w:hint="default"/>
      </w:rPr>
    </w:lvl>
    <w:lvl w:ilvl="4" w:tplc="D862BC5E" w:tentative="1">
      <w:start w:val="1"/>
      <w:numFmt w:val="bullet"/>
      <w:lvlText w:val="o"/>
      <w:lvlJc w:val="left"/>
      <w:pPr>
        <w:ind w:left="3600" w:hanging="360"/>
      </w:pPr>
      <w:rPr>
        <w:rFonts w:ascii="Courier New" w:hAnsi="Courier New" w:cs="Courier New" w:hint="default"/>
      </w:rPr>
    </w:lvl>
    <w:lvl w:ilvl="5" w:tplc="FDFAF12A" w:tentative="1">
      <w:start w:val="1"/>
      <w:numFmt w:val="bullet"/>
      <w:lvlText w:val=""/>
      <w:lvlJc w:val="left"/>
      <w:pPr>
        <w:ind w:left="4320" w:hanging="360"/>
      </w:pPr>
      <w:rPr>
        <w:rFonts w:ascii="Wingdings" w:hAnsi="Wingdings" w:hint="default"/>
      </w:rPr>
    </w:lvl>
    <w:lvl w:ilvl="6" w:tplc="8B0A70DC" w:tentative="1">
      <w:start w:val="1"/>
      <w:numFmt w:val="bullet"/>
      <w:lvlText w:val=""/>
      <w:lvlJc w:val="left"/>
      <w:pPr>
        <w:ind w:left="5040" w:hanging="360"/>
      </w:pPr>
      <w:rPr>
        <w:rFonts w:ascii="Symbol" w:hAnsi="Symbol" w:hint="default"/>
      </w:rPr>
    </w:lvl>
    <w:lvl w:ilvl="7" w:tplc="32822464" w:tentative="1">
      <w:start w:val="1"/>
      <w:numFmt w:val="bullet"/>
      <w:lvlText w:val="o"/>
      <w:lvlJc w:val="left"/>
      <w:pPr>
        <w:ind w:left="5760" w:hanging="360"/>
      </w:pPr>
      <w:rPr>
        <w:rFonts w:ascii="Courier New" w:hAnsi="Courier New" w:cs="Courier New" w:hint="default"/>
      </w:rPr>
    </w:lvl>
    <w:lvl w:ilvl="8" w:tplc="544EBA68" w:tentative="1">
      <w:start w:val="1"/>
      <w:numFmt w:val="bullet"/>
      <w:lvlText w:val=""/>
      <w:lvlJc w:val="left"/>
      <w:pPr>
        <w:ind w:left="6480" w:hanging="360"/>
      </w:pPr>
      <w:rPr>
        <w:rFonts w:ascii="Wingdings" w:hAnsi="Wingdings" w:hint="default"/>
      </w:rPr>
    </w:lvl>
  </w:abstractNum>
  <w:abstractNum w:abstractNumId="17" w15:restartNumberingAfterBreak="0">
    <w:nsid w:val="52D44B2F"/>
    <w:multiLevelType w:val="hybridMultilevel"/>
    <w:tmpl w:val="1EFAA3B0"/>
    <w:lvl w:ilvl="0" w:tplc="CEDEB02E">
      <w:start w:val="1"/>
      <w:numFmt w:val="bullet"/>
      <w:lvlText w:val=""/>
      <w:lvlJc w:val="left"/>
      <w:pPr>
        <w:ind w:left="720" w:hanging="360"/>
      </w:pPr>
      <w:rPr>
        <w:rFonts w:ascii="Symbol" w:hAnsi="Symbol" w:hint="default"/>
      </w:rPr>
    </w:lvl>
    <w:lvl w:ilvl="1" w:tplc="7E38BF1A" w:tentative="1">
      <w:start w:val="1"/>
      <w:numFmt w:val="bullet"/>
      <w:lvlText w:val="o"/>
      <w:lvlJc w:val="left"/>
      <w:pPr>
        <w:ind w:left="1440" w:hanging="360"/>
      </w:pPr>
      <w:rPr>
        <w:rFonts w:ascii="Courier New" w:hAnsi="Courier New" w:cs="Courier New" w:hint="default"/>
      </w:rPr>
    </w:lvl>
    <w:lvl w:ilvl="2" w:tplc="C7DCB6BA" w:tentative="1">
      <w:start w:val="1"/>
      <w:numFmt w:val="bullet"/>
      <w:lvlText w:val=""/>
      <w:lvlJc w:val="left"/>
      <w:pPr>
        <w:ind w:left="2160" w:hanging="360"/>
      </w:pPr>
      <w:rPr>
        <w:rFonts w:ascii="Wingdings" w:hAnsi="Wingdings" w:hint="default"/>
      </w:rPr>
    </w:lvl>
    <w:lvl w:ilvl="3" w:tplc="88CEA61C" w:tentative="1">
      <w:start w:val="1"/>
      <w:numFmt w:val="bullet"/>
      <w:lvlText w:val=""/>
      <w:lvlJc w:val="left"/>
      <w:pPr>
        <w:ind w:left="2880" w:hanging="360"/>
      </w:pPr>
      <w:rPr>
        <w:rFonts w:ascii="Symbol" w:hAnsi="Symbol" w:hint="default"/>
      </w:rPr>
    </w:lvl>
    <w:lvl w:ilvl="4" w:tplc="FA984892" w:tentative="1">
      <w:start w:val="1"/>
      <w:numFmt w:val="bullet"/>
      <w:lvlText w:val="o"/>
      <w:lvlJc w:val="left"/>
      <w:pPr>
        <w:ind w:left="3600" w:hanging="360"/>
      </w:pPr>
      <w:rPr>
        <w:rFonts w:ascii="Courier New" w:hAnsi="Courier New" w:cs="Courier New" w:hint="default"/>
      </w:rPr>
    </w:lvl>
    <w:lvl w:ilvl="5" w:tplc="99C0FA84" w:tentative="1">
      <w:start w:val="1"/>
      <w:numFmt w:val="bullet"/>
      <w:lvlText w:val=""/>
      <w:lvlJc w:val="left"/>
      <w:pPr>
        <w:ind w:left="4320" w:hanging="360"/>
      </w:pPr>
      <w:rPr>
        <w:rFonts w:ascii="Wingdings" w:hAnsi="Wingdings" w:hint="default"/>
      </w:rPr>
    </w:lvl>
    <w:lvl w:ilvl="6" w:tplc="6136BB7E" w:tentative="1">
      <w:start w:val="1"/>
      <w:numFmt w:val="bullet"/>
      <w:lvlText w:val=""/>
      <w:lvlJc w:val="left"/>
      <w:pPr>
        <w:ind w:left="5040" w:hanging="360"/>
      </w:pPr>
      <w:rPr>
        <w:rFonts w:ascii="Symbol" w:hAnsi="Symbol" w:hint="default"/>
      </w:rPr>
    </w:lvl>
    <w:lvl w:ilvl="7" w:tplc="555AB6FC" w:tentative="1">
      <w:start w:val="1"/>
      <w:numFmt w:val="bullet"/>
      <w:lvlText w:val="o"/>
      <w:lvlJc w:val="left"/>
      <w:pPr>
        <w:ind w:left="5760" w:hanging="360"/>
      </w:pPr>
      <w:rPr>
        <w:rFonts w:ascii="Courier New" w:hAnsi="Courier New" w:cs="Courier New" w:hint="default"/>
      </w:rPr>
    </w:lvl>
    <w:lvl w:ilvl="8" w:tplc="56CEA430" w:tentative="1">
      <w:start w:val="1"/>
      <w:numFmt w:val="bullet"/>
      <w:lvlText w:val=""/>
      <w:lvlJc w:val="left"/>
      <w:pPr>
        <w:ind w:left="6480" w:hanging="360"/>
      </w:pPr>
      <w:rPr>
        <w:rFonts w:ascii="Wingdings" w:hAnsi="Wingdings" w:hint="default"/>
      </w:rPr>
    </w:lvl>
  </w:abstractNum>
  <w:abstractNum w:abstractNumId="18" w15:restartNumberingAfterBreak="0">
    <w:nsid w:val="56B76EE8"/>
    <w:multiLevelType w:val="hybridMultilevel"/>
    <w:tmpl w:val="2482E270"/>
    <w:lvl w:ilvl="0" w:tplc="CBA2B576">
      <w:start w:val="1"/>
      <w:numFmt w:val="bullet"/>
      <w:lvlText w:val=""/>
      <w:lvlJc w:val="left"/>
      <w:pPr>
        <w:ind w:left="720" w:hanging="360"/>
      </w:pPr>
      <w:rPr>
        <w:rFonts w:ascii="Symbol" w:hAnsi="Symbol" w:hint="default"/>
      </w:rPr>
    </w:lvl>
    <w:lvl w:ilvl="1" w:tplc="041E397A" w:tentative="1">
      <w:start w:val="1"/>
      <w:numFmt w:val="bullet"/>
      <w:lvlText w:val="o"/>
      <w:lvlJc w:val="left"/>
      <w:pPr>
        <w:ind w:left="1440" w:hanging="360"/>
      </w:pPr>
      <w:rPr>
        <w:rFonts w:ascii="Courier New" w:hAnsi="Courier New" w:cs="Courier New" w:hint="default"/>
      </w:rPr>
    </w:lvl>
    <w:lvl w:ilvl="2" w:tplc="5B84307A" w:tentative="1">
      <w:start w:val="1"/>
      <w:numFmt w:val="bullet"/>
      <w:lvlText w:val=""/>
      <w:lvlJc w:val="left"/>
      <w:pPr>
        <w:ind w:left="2160" w:hanging="360"/>
      </w:pPr>
      <w:rPr>
        <w:rFonts w:ascii="Wingdings" w:hAnsi="Wingdings" w:hint="default"/>
      </w:rPr>
    </w:lvl>
    <w:lvl w:ilvl="3" w:tplc="42A627D4" w:tentative="1">
      <w:start w:val="1"/>
      <w:numFmt w:val="bullet"/>
      <w:lvlText w:val=""/>
      <w:lvlJc w:val="left"/>
      <w:pPr>
        <w:ind w:left="2880" w:hanging="360"/>
      </w:pPr>
      <w:rPr>
        <w:rFonts w:ascii="Symbol" w:hAnsi="Symbol" w:hint="default"/>
      </w:rPr>
    </w:lvl>
    <w:lvl w:ilvl="4" w:tplc="733EAEB8" w:tentative="1">
      <w:start w:val="1"/>
      <w:numFmt w:val="bullet"/>
      <w:lvlText w:val="o"/>
      <w:lvlJc w:val="left"/>
      <w:pPr>
        <w:ind w:left="3600" w:hanging="360"/>
      </w:pPr>
      <w:rPr>
        <w:rFonts w:ascii="Courier New" w:hAnsi="Courier New" w:cs="Courier New" w:hint="default"/>
      </w:rPr>
    </w:lvl>
    <w:lvl w:ilvl="5" w:tplc="4372CF98" w:tentative="1">
      <w:start w:val="1"/>
      <w:numFmt w:val="bullet"/>
      <w:lvlText w:val=""/>
      <w:lvlJc w:val="left"/>
      <w:pPr>
        <w:ind w:left="4320" w:hanging="360"/>
      </w:pPr>
      <w:rPr>
        <w:rFonts w:ascii="Wingdings" w:hAnsi="Wingdings" w:hint="default"/>
      </w:rPr>
    </w:lvl>
    <w:lvl w:ilvl="6" w:tplc="9F5025F6" w:tentative="1">
      <w:start w:val="1"/>
      <w:numFmt w:val="bullet"/>
      <w:lvlText w:val=""/>
      <w:lvlJc w:val="left"/>
      <w:pPr>
        <w:ind w:left="5040" w:hanging="360"/>
      </w:pPr>
      <w:rPr>
        <w:rFonts w:ascii="Symbol" w:hAnsi="Symbol" w:hint="default"/>
      </w:rPr>
    </w:lvl>
    <w:lvl w:ilvl="7" w:tplc="A6C452B0" w:tentative="1">
      <w:start w:val="1"/>
      <w:numFmt w:val="bullet"/>
      <w:lvlText w:val="o"/>
      <w:lvlJc w:val="left"/>
      <w:pPr>
        <w:ind w:left="5760" w:hanging="360"/>
      </w:pPr>
      <w:rPr>
        <w:rFonts w:ascii="Courier New" w:hAnsi="Courier New" w:cs="Courier New" w:hint="default"/>
      </w:rPr>
    </w:lvl>
    <w:lvl w:ilvl="8" w:tplc="A238EFDC" w:tentative="1">
      <w:start w:val="1"/>
      <w:numFmt w:val="bullet"/>
      <w:lvlText w:val=""/>
      <w:lvlJc w:val="left"/>
      <w:pPr>
        <w:ind w:left="6480" w:hanging="360"/>
      </w:pPr>
      <w:rPr>
        <w:rFonts w:ascii="Wingdings" w:hAnsi="Wingdings" w:hint="default"/>
      </w:rPr>
    </w:lvl>
  </w:abstractNum>
  <w:abstractNum w:abstractNumId="19" w15:restartNumberingAfterBreak="0">
    <w:nsid w:val="5E0C3C30"/>
    <w:multiLevelType w:val="hybridMultilevel"/>
    <w:tmpl w:val="AC04B9AC"/>
    <w:lvl w:ilvl="0" w:tplc="E0FEF168">
      <w:start w:val="1"/>
      <w:numFmt w:val="bullet"/>
      <w:pStyle w:val="Cuadrculamedia1-nfasis21"/>
      <w:lvlText w:val=""/>
      <w:lvlJc w:val="left"/>
      <w:pPr>
        <w:ind w:left="360" w:hanging="360"/>
      </w:pPr>
      <w:rPr>
        <w:rFonts w:ascii="Wingdings" w:hAnsi="Wingdings" w:hint="default"/>
        <w:color w:val="003652"/>
        <w:sz w:val="18"/>
        <w:szCs w:val="18"/>
      </w:rPr>
    </w:lvl>
    <w:lvl w:ilvl="1" w:tplc="E312CC96" w:tentative="1">
      <w:start w:val="1"/>
      <w:numFmt w:val="bullet"/>
      <w:lvlText w:val="o"/>
      <w:lvlJc w:val="left"/>
      <w:pPr>
        <w:ind w:left="1080" w:hanging="360"/>
      </w:pPr>
      <w:rPr>
        <w:rFonts w:ascii="Courier New" w:hAnsi="Courier New" w:cs="Courier New" w:hint="default"/>
      </w:rPr>
    </w:lvl>
    <w:lvl w:ilvl="2" w:tplc="2D0A3066" w:tentative="1">
      <w:start w:val="1"/>
      <w:numFmt w:val="bullet"/>
      <w:lvlText w:val=""/>
      <w:lvlJc w:val="left"/>
      <w:pPr>
        <w:ind w:left="1800" w:hanging="360"/>
      </w:pPr>
      <w:rPr>
        <w:rFonts w:ascii="Wingdings" w:hAnsi="Wingdings" w:hint="default"/>
      </w:rPr>
    </w:lvl>
    <w:lvl w:ilvl="3" w:tplc="378682DA" w:tentative="1">
      <w:start w:val="1"/>
      <w:numFmt w:val="bullet"/>
      <w:lvlText w:val=""/>
      <w:lvlJc w:val="left"/>
      <w:pPr>
        <w:ind w:left="2520" w:hanging="360"/>
      </w:pPr>
      <w:rPr>
        <w:rFonts w:ascii="Symbol" w:hAnsi="Symbol" w:hint="default"/>
      </w:rPr>
    </w:lvl>
    <w:lvl w:ilvl="4" w:tplc="48E6F102" w:tentative="1">
      <w:start w:val="1"/>
      <w:numFmt w:val="bullet"/>
      <w:lvlText w:val="o"/>
      <w:lvlJc w:val="left"/>
      <w:pPr>
        <w:ind w:left="3240" w:hanging="360"/>
      </w:pPr>
      <w:rPr>
        <w:rFonts w:ascii="Courier New" w:hAnsi="Courier New" w:cs="Courier New" w:hint="default"/>
      </w:rPr>
    </w:lvl>
    <w:lvl w:ilvl="5" w:tplc="78608B38" w:tentative="1">
      <w:start w:val="1"/>
      <w:numFmt w:val="bullet"/>
      <w:lvlText w:val=""/>
      <w:lvlJc w:val="left"/>
      <w:pPr>
        <w:ind w:left="3960" w:hanging="360"/>
      </w:pPr>
      <w:rPr>
        <w:rFonts w:ascii="Wingdings" w:hAnsi="Wingdings" w:hint="default"/>
      </w:rPr>
    </w:lvl>
    <w:lvl w:ilvl="6" w:tplc="6B0C326A" w:tentative="1">
      <w:start w:val="1"/>
      <w:numFmt w:val="bullet"/>
      <w:lvlText w:val=""/>
      <w:lvlJc w:val="left"/>
      <w:pPr>
        <w:ind w:left="4680" w:hanging="360"/>
      </w:pPr>
      <w:rPr>
        <w:rFonts w:ascii="Symbol" w:hAnsi="Symbol" w:hint="default"/>
      </w:rPr>
    </w:lvl>
    <w:lvl w:ilvl="7" w:tplc="7424F792" w:tentative="1">
      <w:start w:val="1"/>
      <w:numFmt w:val="bullet"/>
      <w:lvlText w:val="o"/>
      <w:lvlJc w:val="left"/>
      <w:pPr>
        <w:ind w:left="5400" w:hanging="360"/>
      </w:pPr>
      <w:rPr>
        <w:rFonts w:ascii="Courier New" w:hAnsi="Courier New" w:cs="Courier New" w:hint="default"/>
      </w:rPr>
    </w:lvl>
    <w:lvl w:ilvl="8" w:tplc="2B0CF80A" w:tentative="1">
      <w:start w:val="1"/>
      <w:numFmt w:val="bullet"/>
      <w:lvlText w:val=""/>
      <w:lvlJc w:val="left"/>
      <w:pPr>
        <w:ind w:left="6120" w:hanging="360"/>
      </w:pPr>
      <w:rPr>
        <w:rFonts w:ascii="Wingdings" w:hAnsi="Wingdings" w:hint="default"/>
      </w:rPr>
    </w:lvl>
  </w:abstractNum>
  <w:abstractNum w:abstractNumId="20" w15:restartNumberingAfterBreak="0">
    <w:nsid w:val="6CD16F51"/>
    <w:multiLevelType w:val="hybridMultilevel"/>
    <w:tmpl w:val="80D27B66"/>
    <w:lvl w:ilvl="0" w:tplc="36F49C52">
      <w:start w:val="1"/>
      <w:numFmt w:val="bullet"/>
      <w:lvlText w:val=""/>
      <w:lvlJc w:val="left"/>
      <w:pPr>
        <w:ind w:left="720" w:hanging="360"/>
      </w:pPr>
      <w:rPr>
        <w:rFonts w:ascii="Symbol" w:hAnsi="Symbol" w:hint="default"/>
      </w:rPr>
    </w:lvl>
    <w:lvl w:ilvl="1" w:tplc="7506CC3A" w:tentative="1">
      <w:start w:val="1"/>
      <w:numFmt w:val="bullet"/>
      <w:lvlText w:val="o"/>
      <w:lvlJc w:val="left"/>
      <w:pPr>
        <w:ind w:left="1440" w:hanging="360"/>
      </w:pPr>
      <w:rPr>
        <w:rFonts w:ascii="Courier New" w:hAnsi="Courier New" w:cs="Courier New" w:hint="default"/>
      </w:rPr>
    </w:lvl>
    <w:lvl w:ilvl="2" w:tplc="510214BA" w:tentative="1">
      <w:start w:val="1"/>
      <w:numFmt w:val="bullet"/>
      <w:lvlText w:val=""/>
      <w:lvlJc w:val="left"/>
      <w:pPr>
        <w:ind w:left="2160" w:hanging="360"/>
      </w:pPr>
      <w:rPr>
        <w:rFonts w:ascii="Wingdings" w:hAnsi="Wingdings" w:hint="default"/>
      </w:rPr>
    </w:lvl>
    <w:lvl w:ilvl="3" w:tplc="A1E429AC" w:tentative="1">
      <w:start w:val="1"/>
      <w:numFmt w:val="bullet"/>
      <w:lvlText w:val=""/>
      <w:lvlJc w:val="left"/>
      <w:pPr>
        <w:ind w:left="2880" w:hanging="360"/>
      </w:pPr>
      <w:rPr>
        <w:rFonts w:ascii="Symbol" w:hAnsi="Symbol" w:hint="default"/>
      </w:rPr>
    </w:lvl>
    <w:lvl w:ilvl="4" w:tplc="1F9858BE" w:tentative="1">
      <w:start w:val="1"/>
      <w:numFmt w:val="bullet"/>
      <w:lvlText w:val="o"/>
      <w:lvlJc w:val="left"/>
      <w:pPr>
        <w:ind w:left="3600" w:hanging="360"/>
      </w:pPr>
      <w:rPr>
        <w:rFonts w:ascii="Courier New" w:hAnsi="Courier New" w:cs="Courier New" w:hint="default"/>
      </w:rPr>
    </w:lvl>
    <w:lvl w:ilvl="5" w:tplc="D4462B6E" w:tentative="1">
      <w:start w:val="1"/>
      <w:numFmt w:val="bullet"/>
      <w:lvlText w:val=""/>
      <w:lvlJc w:val="left"/>
      <w:pPr>
        <w:ind w:left="4320" w:hanging="360"/>
      </w:pPr>
      <w:rPr>
        <w:rFonts w:ascii="Wingdings" w:hAnsi="Wingdings" w:hint="default"/>
      </w:rPr>
    </w:lvl>
    <w:lvl w:ilvl="6" w:tplc="9C248CDC" w:tentative="1">
      <w:start w:val="1"/>
      <w:numFmt w:val="bullet"/>
      <w:lvlText w:val=""/>
      <w:lvlJc w:val="left"/>
      <w:pPr>
        <w:ind w:left="5040" w:hanging="360"/>
      </w:pPr>
      <w:rPr>
        <w:rFonts w:ascii="Symbol" w:hAnsi="Symbol" w:hint="default"/>
      </w:rPr>
    </w:lvl>
    <w:lvl w:ilvl="7" w:tplc="7B969B80" w:tentative="1">
      <w:start w:val="1"/>
      <w:numFmt w:val="bullet"/>
      <w:lvlText w:val="o"/>
      <w:lvlJc w:val="left"/>
      <w:pPr>
        <w:ind w:left="5760" w:hanging="360"/>
      </w:pPr>
      <w:rPr>
        <w:rFonts w:ascii="Courier New" w:hAnsi="Courier New" w:cs="Courier New" w:hint="default"/>
      </w:rPr>
    </w:lvl>
    <w:lvl w:ilvl="8" w:tplc="0F741D9E" w:tentative="1">
      <w:start w:val="1"/>
      <w:numFmt w:val="bullet"/>
      <w:lvlText w:val=""/>
      <w:lvlJc w:val="left"/>
      <w:pPr>
        <w:ind w:left="6480" w:hanging="360"/>
      </w:pPr>
      <w:rPr>
        <w:rFonts w:ascii="Wingdings" w:hAnsi="Wingdings" w:hint="default"/>
      </w:rPr>
    </w:lvl>
  </w:abstractNum>
  <w:abstractNum w:abstractNumId="21" w15:restartNumberingAfterBreak="0">
    <w:nsid w:val="787B6911"/>
    <w:multiLevelType w:val="hybridMultilevel"/>
    <w:tmpl w:val="155A5F88"/>
    <w:lvl w:ilvl="0" w:tplc="AC4A2232">
      <w:start w:val="1"/>
      <w:numFmt w:val="bullet"/>
      <w:lvlText w:val=""/>
      <w:lvlJc w:val="left"/>
      <w:pPr>
        <w:ind w:left="720" w:hanging="360"/>
      </w:pPr>
      <w:rPr>
        <w:rFonts w:ascii="Symbol" w:hAnsi="Symbol" w:hint="default"/>
      </w:rPr>
    </w:lvl>
    <w:lvl w:ilvl="1" w:tplc="27BCBC84" w:tentative="1">
      <w:start w:val="1"/>
      <w:numFmt w:val="bullet"/>
      <w:lvlText w:val="o"/>
      <w:lvlJc w:val="left"/>
      <w:pPr>
        <w:ind w:left="1440" w:hanging="360"/>
      </w:pPr>
      <w:rPr>
        <w:rFonts w:ascii="Courier New" w:hAnsi="Courier New" w:cs="Courier New" w:hint="default"/>
      </w:rPr>
    </w:lvl>
    <w:lvl w:ilvl="2" w:tplc="A4D06FE6" w:tentative="1">
      <w:start w:val="1"/>
      <w:numFmt w:val="bullet"/>
      <w:lvlText w:val=""/>
      <w:lvlJc w:val="left"/>
      <w:pPr>
        <w:ind w:left="2160" w:hanging="360"/>
      </w:pPr>
      <w:rPr>
        <w:rFonts w:ascii="Wingdings" w:hAnsi="Wingdings" w:hint="default"/>
      </w:rPr>
    </w:lvl>
    <w:lvl w:ilvl="3" w:tplc="5514663A" w:tentative="1">
      <w:start w:val="1"/>
      <w:numFmt w:val="bullet"/>
      <w:lvlText w:val=""/>
      <w:lvlJc w:val="left"/>
      <w:pPr>
        <w:ind w:left="2880" w:hanging="360"/>
      </w:pPr>
      <w:rPr>
        <w:rFonts w:ascii="Symbol" w:hAnsi="Symbol" w:hint="default"/>
      </w:rPr>
    </w:lvl>
    <w:lvl w:ilvl="4" w:tplc="2220805A" w:tentative="1">
      <w:start w:val="1"/>
      <w:numFmt w:val="bullet"/>
      <w:lvlText w:val="o"/>
      <w:lvlJc w:val="left"/>
      <w:pPr>
        <w:ind w:left="3600" w:hanging="360"/>
      </w:pPr>
      <w:rPr>
        <w:rFonts w:ascii="Courier New" w:hAnsi="Courier New" w:cs="Courier New" w:hint="default"/>
      </w:rPr>
    </w:lvl>
    <w:lvl w:ilvl="5" w:tplc="8256A84E" w:tentative="1">
      <w:start w:val="1"/>
      <w:numFmt w:val="bullet"/>
      <w:lvlText w:val=""/>
      <w:lvlJc w:val="left"/>
      <w:pPr>
        <w:ind w:left="4320" w:hanging="360"/>
      </w:pPr>
      <w:rPr>
        <w:rFonts w:ascii="Wingdings" w:hAnsi="Wingdings" w:hint="default"/>
      </w:rPr>
    </w:lvl>
    <w:lvl w:ilvl="6" w:tplc="258A88F4" w:tentative="1">
      <w:start w:val="1"/>
      <w:numFmt w:val="bullet"/>
      <w:lvlText w:val=""/>
      <w:lvlJc w:val="left"/>
      <w:pPr>
        <w:ind w:left="5040" w:hanging="360"/>
      </w:pPr>
      <w:rPr>
        <w:rFonts w:ascii="Symbol" w:hAnsi="Symbol" w:hint="default"/>
      </w:rPr>
    </w:lvl>
    <w:lvl w:ilvl="7" w:tplc="856275FA" w:tentative="1">
      <w:start w:val="1"/>
      <w:numFmt w:val="bullet"/>
      <w:lvlText w:val="o"/>
      <w:lvlJc w:val="left"/>
      <w:pPr>
        <w:ind w:left="5760" w:hanging="360"/>
      </w:pPr>
      <w:rPr>
        <w:rFonts w:ascii="Courier New" w:hAnsi="Courier New" w:cs="Courier New" w:hint="default"/>
      </w:rPr>
    </w:lvl>
    <w:lvl w:ilvl="8" w:tplc="697C11AA"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0"/>
  </w:num>
  <w:num w:numId="4">
    <w:abstractNumId w:val="15"/>
  </w:num>
  <w:num w:numId="5">
    <w:abstractNumId w:val="21"/>
  </w:num>
  <w:num w:numId="6">
    <w:abstractNumId w:val="16"/>
  </w:num>
  <w:num w:numId="7">
    <w:abstractNumId w:val="2"/>
  </w:num>
  <w:num w:numId="8">
    <w:abstractNumId w:val="5"/>
  </w:num>
  <w:num w:numId="9">
    <w:abstractNumId w:val="20"/>
  </w:num>
  <w:num w:numId="10">
    <w:abstractNumId w:val="0"/>
  </w:num>
  <w:num w:numId="11">
    <w:abstractNumId w:val="3"/>
  </w:num>
  <w:num w:numId="12">
    <w:abstractNumId w:val="1"/>
  </w:num>
  <w:num w:numId="13">
    <w:abstractNumId w:val="17"/>
  </w:num>
  <w:num w:numId="14">
    <w:abstractNumId w:val="11"/>
  </w:num>
  <w:num w:numId="15">
    <w:abstractNumId w:val="9"/>
  </w:num>
  <w:num w:numId="16">
    <w:abstractNumId w:val="14"/>
  </w:num>
  <w:num w:numId="17">
    <w:abstractNumId w:val="7"/>
  </w:num>
  <w:num w:numId="18">
    <w:abstractNumId w:val="18"/>
  </w:num>
  <w:num w:numId="19">
    <w:abstractNumId w:val="4"/>
  </w:num>
  <w:num w:numId="20">
    <w:abstractNumId w:val="13"/>
  </w:num>
  <w:num w:numId="21">
    <w:abstractNumId w:val="6"/>
  </w:num>
  <w:num w:numId="22">
    <w:abstractNumId w:val="12"/>
  </w:num>
  <w:num w:numId="2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aveSubsetFonts/>
  <w:hideGrammaticalErrors/>
  <w:proofState w:spelling="clean"/>
  <w:attachedTemplate r:id="rId1"/>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48"/>
    <w:rsid w:val="00000D89"/>
    <w:rsid w:val="00001C14"/>
    <w:rsid w:val="000021C9"/>
    <w:rsid w:val="00003F91"/>
    <w:rsid w:val="00004E0F"/>
    <w:rsid w:val="00005629"/>
    <w:rsid w:val="00005FCD"/>
    <w:rsid w:val="000077AC"/>
    <w:rsid w:val="00011EF6"/>
    <w:rsid w:val="00012A54"/>
    <w:rsid w:val="000142DE"/>
    <w:rsid w:val="00014DC8"/>
    <w:rsid w:val="00014E9D"/>
    <w:rsid w:val="000165E3"/>
    <w:rsid w:val="00017EF4"/>
    <w:rsid w:val="000203B1"/>
    <w:rsid w:val="00020D5B"/>
    <w:rsid w:val="00021DFF"/>
    <w:rsid w:val="00023617"/>
    <w:rsid w:val="0002391A"/>
    <w:rsid w:val="000247E9"/>
    <w:rsid w:val="000259F3"/>
    <w:rsid w:val="00025E50"/>
    <w:rsid w:val="00026FB8"/>
    <w:rsid w:val="0002720F"/>
    <w:rsid w:val="00027946"/>
    <w:rsid w:val="00027BB4"/>
    <w:rsid w:val="00030729"/>
    <w:rsid w:val="00030E02"/>
    <w:rsid w:val="000314A8"/>
    <w:rsid w:val="00032F49"/>
    <w:rsid w:val="000333F5"/>
    <w:rsid w:val="000368CD"/>
    <w:rsid w:val="00036FDC"/>
    <w:rsid w:val="0003740B"/>
    <w:rsid w:val="0003765C"/>
    <w:rsid w:val="0004087C"/>
    <w:rsid w:val="000409D7"/>
    <w:rsid w:val="00040EE6"/>
    <w:rsid w:val="0004193B"/>
    <w:rsid w:val="0004207D"/>
    <w:rsid w:val="000427F7"/>
    <w:rsid w:val="0004336F"/>
    <w:rsid w:val="00043D5E"/>
    <w:rsid w:val="00044AE5"/>
    <w:rsid w:val="00044F61"/>
    <w:rsid w:val="00045B33"/>
    <w:rsid w:val="0005266F"/>
    <w:rsid w:val="000541B0"/>
    <w:rsid w:val="00055BDB"/>
    <w:rsid w:val="00055CFB"/>
    <w:rsid w:val="00056020"/>
    <w:rsid w:val="000603BF"/>
    <w:rsid w:val="000603D9"/>
    <w:rsid w:val="000613D3"/>
    <w:rsid w:val="00061D3E"/>
    <w:rsid w:val="000624A3"/>
    <w:rsid w:val="0006380C"/>
    <w:rsid w:val="00063980"/>
    <w:rsid w:val="00063C6A"/>
    <w:rsid w:val="00064A9E"/>
    <w:rsid w:val="0006553F"/>
    <w:rsid w:val="00066698"/>
    <w:rsid w:val="00070015"/>
    <w:rsid w:val="00070F82"/>
    <w:rsid w:val="0007247B"/>
    <w:rsid w:val="00072E27"/>
    <w:rsid w:val="00072FBA"/>
    <w:rsid w:val="0007328E"/>
    <w:rsid w:val="000742B7"/>
    <w:rsid w:val="000763A8"/>
    <w:rsid w:val="000768D0"/>
    <w:rsid w:val="00076E54"/>
    <w:rsid w:val="00077FB7"/>
    <w:rsid w:val="00080C39"/>
    <w:rsid w:val="00081168"/>
    <w:rsid w:val="000825BB"/>
    <w:rsid w:val="0008385D"/>
    <w:rsid w:val="00084669"/>
    <w:rsid w:val="000847FD"/>
    <w:rsid w:val="000857FF"/>
    <w:rsid w:val="00085BFC"/>
    <w:rsid w:val="00086094"/>
    <w:rsid w:val="00086A78"/>
    <w:rsid w:val="0009202C"/>
    <w:rsid w:val="000933D1"/>
    <w:rsid w:val="0009480D"/>
    <w:rsid w:val="00095A9C"/>
    <w:rsid w:val="00096356"/>
    <w:rsid w:val="00096BC7"/>
    <w:rsid w:val="000973BD"/>
    <w:rsid w:val="00097689"/>
    <w:rsid w:val="000976AD"/>
    <w:rsid w:val="000A0046"/>
    <w:rsid w:val="000A02F5"/>
    <w:rsid w:val="000A0A58"/>
    <w:rsid w:val="000A2730"/>
    <w:rsid w:val="000A2C74"/>
    <w:rsid w:val="000A68B0"/>
    <w:rsid w:val="000A6DE7"/>
    <w:rsid w:val="000A7A7A"/>
    <w:rsid w:val="000A7B6F"/>
    <w:rsid w:val="000B0515"/>
    <w:rsid w:val="000B299C"/>
    <w:rsid w:val="000B3708"/>
    <w:rsid w:val="000B42C3"/>
    <w:rsid w:val="000B4F80"/>
    <w:rsid w:val="000B663A"/>
    <w:rsid w:val="000B716D"/>
    <w:rsid w:val="000B7A49"/>
    <w:rsid w:val="000B7FF3"/>
    <w:rsid w:val="000C1074"/>
    <w:rsid w:val="000C1978"/>
    <w:rsid w:val="000C1F1F"/>
    <w:rsid w:val="000C22D3"/>
    <w:rsid w:val="000C40C4"/>
    <w:rsid w:val="000D0714"/>
    <w:rsid w:val="000D2018"/>
    <w:rsid w:val="000D2DF7"/>
    <w:rsid w:val="000D462A"/>
    <w:rsid w:val="000D53F2"/>
    <w:rsid w:val="000D719B"/>
    <w:rsid w:val="000D7F3B"/>
    <w:rsid w:val="000E1966"/>
    <w:rsid w:val="000E2798"/>
    <w:rsid w:val="000E2A4F"/>
    <w:rsid w:val="000E2FE0"/>
    <w:rsid w:val="000E325C"/>
    <w:rsid w:val="000E3BC0"/>
    <w:rsid w:val="000E492B"/>
    <w:rsid w:val="000E4DF4"/>
    <w:rsid w:val="000E7F17"/>
    <w:rsid w:val="000F051D"/>
    <w:rsid w:val="000F0D9A"/>
    <w:rsid w:val="000F2058"/>
    <w:rsid w:val="000F3284"/>
    <w:rsid w:val="000F33D7"/>
    <w:rsid w:val="000F6450"/>
    <w:rsid w:val="000F660A"/>
    <w:rsid w:val="00100152"/>
    <w:rsid w:val="00100D9D"/>
    <w:rsid w:val="00100E24"/>
    <w:rsid w:val="00101B60"/>
    <w:rsid w:val="00102728"/>
    <w:rsid w:val="00103374"/>
    <w:rsid w:val="0010393A"/>
    <w:rsid w:val="00104563"/>
    <w:rsid w:val="00104A0F"/>
    <w:rsid w:val="00104B37"/>
    <w:rsid w:val="00105304"/>
    <w:rsid w:val="00107BAD"/>
    <w:rsid w:val="00107BE7"/>
    <w:rsid w:val="00110621"/>
    <w:rsid w:val="00111C73"/>
    <w:rsid w:val="00114761"/>
    <w:rsid w:val="00114826"/>
    <w:rsid w:val="00114C2E"/>
    <w:rsid w:val="00115FB1"/>
    <w:rsid w:val="0011614C"/>
    <w:rsid w:val="001223A9"/>
    <w:rsid w:val="00122E87"/>
    <w:rsid w:val="00123239"/>
    <w:rsid w:val="00123B4F"/>
    <w:rsid w:val="0012409A"/>
    <w:rsid w:val="00124F01"/>
    <w:rsid w:val="0012599E"/>
    <w:rsid w:val="00127089"/>
    <w:rsid w:val="00127503"/>
    <w:rsid w:val="00131ED1"/>
    <w:rsid w:val="001329F7"/>
    <w:rsid w:val="00133006"/>
    <w:rsid w:val="00133FF5"/>
    <w:rsid w:val="00136CBC"/>
    <w:rsid w:val="00137EB5"/>
    <w:rsid w:val="0014005B"/>
    <w:rsid w:val="00141E6D"/>
    <w:rsid w:val="00142879"/>
    <w:rsid w:val="001450F0"/>
    <w:rsid w:val="00146E44"/>
    <w:rsid w:val="0014787A"/>
    <w:rsid w:val="00147A42"/>
    <w:rsid w:val="00147F49"/>
    <w:rsid w:val="00152476"/>
    <w:rsid w:val="001533A6"/>
    <w:rsid w:val="001533D6"/>
    <w:rsid w:val="00154B39"/>
    <w:rsid w:val="001551E7"/>
    <w:rsid w:val="00155CDD"/>
    <w:rsid w:val="00155F00"/>
    <w:rsid w:val="00157B50"/>
    <w:rsid w:val="001607A2"/>
    <w:rsid w:val="00160B01"/>
    <w:rsid w:val="00161344"/>
    <w:rsid w:val="00162502"/>
    <w:rsid w:val="00162590"/>
    <w:rsid w:val="00163D71"/>
    <w:rsid w:val="001640AC"/>
    <w:rsid w:val="001648C2"/>
    <w:rsid w:val="00167F58"/>
    <w:rsid w:val="00174630"/>
    <w:rsid w:val="001758BC"/>
    <w:rsid w:val="00175B3D"/>
    <w:rsid w:val="001765AF"/>
    <w:rsid w:val="00180DBD"/>
    <w:rsid w:val="0018164C"/>
    <w:rsid w:val="00181EBC"/>
    <w:rsid w:val="00183990"/>
    <w:rsid w:val="0018411C"/>
    <w:rsid w:val="00186DD0"/>
    <w:rsid w:val="00186FC4"/>
    <w:rsid w:val="00187BF8"/>
    <w:rsid w:val="00190562"/>
    <w:rsid w:val="0019074B"/>
    <w:rsid w:val="00190AE5"/>
    <w:rsid w:val="001915F4"/>
    <w:rsid w:val="00191BAC"/>
    <w:rsid w:val="00192161"/>
    <w:rsid w:val="0019243D"/>
    <w:rsid w:val="00192D44"/>
    <w:rsid w:val="00193645"/>
    <w:rsid w:val="00197223"/>
    <w:rsid w:val="001A1B93"/>
    <w:rsid w:val="001A2537"/>
    <w:rsid w:val="001A4D47"/>
    <w:rsid w:val="001A51DE"/>
    <w:rsid w:val="001A65FE"/>
    <w:rsid w:val="001A6B15"/>
    <w:rsid w:val="001A7027"/>
    <w:rsid w:val="001B0A4F"/>
    <w:rsid w:val="001B2C01"/>
    <w:rsid w:val="001B37E5"/>
    <w:rsid w:val="001B397B"/>
    <w:rsid w:val="001B6207"/>
    <w:rsid w:val="001B6B31"/>
    <w:rsid w:val="001B6FFE"/>
    <w:rsid w:val="001C0013"/>
    <w:rsid w:val="001C4D19"/>
    <w:rsid w:val="001C538E"/>
    <w:rsid w:val="001C607E"/>
    <w:rsid w:val="001C6A07"/>
    <w:rsid w:val="001C6C19"/>
    <w:rsid w:val="001C6FEA"/>
    <w:rsid w:val="001C7668"/>
    <w:rsid w:val="001D0A99"/>
    <w:rsid w:val="001D0CF9"/>
    <w:rsid w:val="001D1D28"/>
    <w:rsid w:val="001D246B"/>
    <w:rsid w:val="001D24A6"/>
    <w:rsid w:val="001D2568"/>
    <w:rsid w:val="001D3A66"/>
    <w:rsid w:val="001D41BF"/>
    <w:rsid w:val="001D5958"/>
    <w:rsid w:val="001D79F9"/>
    <w:rsid w:val="001D7BBE"/>
    <w:rsid w:val="001E1B60"/>
    <w:rsid w:val="001E2964"/>
    <w:rsid w:val="001E4403"/>
    <w:rsid w:val="001E4C57"/>
    <w:rsid w:val="001E591A"/>
    <w:rsid w:val="001E610A"/>
    <w:rsid w:val="001E67F9"/>
    <w:rsid w:val="001E698A"/>
    <w:rsid w:val="001E6E0B"/>
    <w:rsid w:val="001E7596"/>
    <w:rsid w:val="001F1C45"/>
    <w:rsid w:val="001F3751"/>
    <w:rsid w:val="001F3782"/>
    <w:rsid w:val="001F4332"/>
    <w:rsid w:val="001F45F5"/>
    <w:rsid w:val="001F5949"/>
    <w:rsid w:val="001F7BAA"/>
    <w:rsid w:val="00200158"/>
    <w:rsid w:val="00200474"/>
    <w:rsid w:val="00200C75"/>
    <w:rsid w:val="00201956"/>
    <w:rsid w:val="00203563"/>
    <w:rsid w:val="00203D8B"/>
    <w:rsid w:val="002046FA"/>
    <w:rsid w:val="00204A77"/>
    <w:rsid w:val="00204E38"/>
    <w:rsid w:val="00205B68"/>
    <w:rsid w:val="002067A2"/>
    <w:rsid w:val="0021107F"/>
    <w:rsid w:val="002122C4"/>
    <w:rsid w:val="0021295B"/>
    <w:rsid w:val="00213FF5"/>
    <w:rsid w:val="002143A0"/>
    <w:rsid w:val="00214805"/>
    <w:rsid w:val="00214BC7"/>
    <w:rsid w:val="00221B2D"/>
    <w:rsid w:val="00221CD6"/>
    <w:rsid w:val="002233BC"/>
    <w:rsid w:val="00223B69"/>
    <w:rsid w:val="00224ABB"/>
    <w:rsid w:val="0022507F"/>
    <w:rsid w:val="00225A44"/>
    <w:rsid w:val="00225C61"/>
    <w:rsid w:val="00227F7B"/>
    <w:rsid w:val="0023316A"/>
    <w:rsid w:val="00233777"/>
    <w:rsid w:val="00233AB6"/>
    <w:rsid w:val="00235B75"/>
    <w:rsid w:val="00235C04"/>
    <w:rsid w:val="00236131"/>
    <w:rsid w:val="00246947"/>
    <w:rsid w:val="0025287A"/>
    <w:rsid w:val="00256351"/>
    <w:rsid w:val="002579AC"/>
    <w:rsid w:val="00265C49"/>
    <w:rsid w:val="00266C07"/>
    <w:rsid w:val="00266EDB"/>
    <w:rsid w:val="002675D3"/>
    <w:rsid w:val="00267969"/>
    <w:rsid w:val="0027135D"/>
    <w:rsid w:val="00271EF1"/>
    <w:rsid w:val="00271FDB"/>
    <w:rsid w:val="0027216E"/>
    <w:rsid w:val="00272182"/>
    <w:rsid w:val="00273580"/>
    <w:rsid w:val="00274EAF"/>
    <w:rsid w:val="00275B74"/>
    <w:rsid w:val="0027617F"/>
    <w:rsid w:val="002772B9"/>
    <w:rsid w:val="0027778D"/>
    <w:rsid w:val="00277DA1"/>
    <w:rsid w:val="00280096"/>
    <w:rsid w:val="00280F53"/>
    <w:rsid w:val="00281F64"/>
    <w:rsid w:val="002831F0"/>
    <w:rsid w:val="00283254"/>
    <w:rsid w:val="00283BB9"/>
    <w:rsid w:val="00284677"/>
    <w:rsid w:val="00284695"/>
    <w:rsid w:val="0028619C"/>
    <w:rsid w:val="002862AD"/>
    <w:rsid w:val="002875DF"/>
    <w:rsid w:val="00287AEC"/>
    <w:rsid w:val="0029006E"/>
    <w:rsid w:val="00290D99"/>
    <w:rsid w:val="00291925"/>
    <w:rsid w:val="00293EDD"/>
    <w:rsid w:val="00294DFC"/>
    <w:rsid w:val="00296270"/>
    <w:rsid w:val="0029705E"/>
    <w:rsid w:val="002A0180"/>
    <w:rsid w:val="002A18F2"/>
    <w:rsid w:val="002A1E28"/>
    <w:rsid w:val="002A20F1"/>
    <w:rsid w:val="002A3506"/>
    <w:rsid w:val="002A48A0"/>
    <w:rsid w:val="002A4E2A"/>
    <w:rsid w:val="002A5B0B"/>
    <w:rsid w:val="002A6E62"/>
    <w:rsid w:val="002B046E"/>
    <w:rsid w:val="002B4F34"/>
    <w:rsid w:val="002B57D1"/>
    <w:rsid w:val="002B64A8"/>
    <w:rsid w:val="002B767C"/>
    <w:rsid w:val="002B7987"/>
    <w:rsid w:val="002C05ED"/>
    <w:rsid w:val="002C0879"/>
    <w:rsid w:val="002C10BF"/>
    <w:rsid w:val="002C17C0"/>
    <w:rsid w:val="002C1BD3"/>
    <w:rsid w:val="002C1E33"/>
    <w:rsid w:val="002C2FD3"/>
    <w:rsid w:val="002C3034"/>
    <w:rsid w:val="002C35FE"/>
    <w:rsid w:val="002C3FEA"/>
    <w:rsid w:val="002C405E"/>
    <w:rsid w:val="002C48B0"/>
    <w:rsid w:val="002C50BB"/>
    <w:rsid w:val="002D2A31"/>
    <w:rsid w:val="002D3123"/>
    <w:rsid w:val="002D3B1B"/>
    <w:rsid w:val="002D461A"/>
    <w:rsid w:val="002D4AFD"/>
    <w:rsid w:val="002D4C5E"/>
    <w:rsid w:val="002D5328"/>
    <w:rsid w:val="002D68AC"/>
    <w:rsid w:val="002E0B23"/>
    <w:rsid w:val="002E0CFF"/>
    <w:rsid w:val="002E1CB3"/>
    <w:rsid w:val="002E2046"/>
    <w:rsid w:val="002E2CAB"/>
    <w:rsid w:val="002E688C"/>
    <w:rsid w:val="002E68C9"/>
    <w:rsid w:val="002F1CCB"/>
    <w:rsid w:val="002F4074"/>
    <w:rsid w:val="002F578C"/>
    <w:rsid w:val="002F5874"/>
    <w:rsid w:val="002F646B"/>
    <w:rsid w:val="002F6A53"/>
    <w:rsid w:val="00300C3F"/>
    <w:rsid w:val="00300CFD"/>
    <w:rsid w:val="00302334"/>
    <w:rsid w:val="0030278E"/>
    <w:rsid w:val="003039ED"/>
    <w:rsid w:val="00304498"/>
    <w:rsid w:val="00304B26"/>
    <w:rsid w:val="00305861"/>
    <w:rsid w:val="003060DA"/>
    <w:rsid w:val="00306593"/>
    <w:rsid w:val="0030683B"/>
    <w:rsid w:val="00306D82"/>
    <w:rsid w:val="00311472"/>
    <w:rsid w:val="00311A6E"/>
    <w:rsid w:val="00311CD9"/>
    <w:rsid w:val="00312379"/>
    <w:rsid w:val="00312B46"/>
    <w:rsid w:val="00313703"/>
    <w:rsid w:val="003166AD"/>
    <w:rsid w:val="00316A0C"/>
    <w:rsid w:val="0032140C"/>
    <w:rsid w:val="003245EE"/>
    <w:rsid w:val="00324671"/>
    <w:rsid w:val="0032625F"/>
    <w:rsid w:val="00326D51"/>
    <w:rsid w:val="00327289"/>
    <w:rsid w:val="00330522"/>
    <w:rsid w:val="00330979"/>
    <w:rsid w:val="003311C5"/>
    <w:rsid w:val="00331EEB"/>
    <w:rsid w:val="00332AFD"/>
    <w:rsid w:val="00332C5E"/>
    <w:rsid w:val="00334B90"/>
    <w:rsid w:val="00335505"/>
    <w:rsid w:val="00335B4A"/>
    <w:rsid w:val="00335D5C"/>
    <w:rsid w:val="003362C9"/>
    <w:rsid w:val="00340AE7"/>
    <w:rsid w:val="00340BC3"/>
    <w:rsid w:val="00341D69"/>
    <w:rsid w:val="00343E44"/>
    <w:rsid w:val="00344E13"/>
    <w:rsid w:val="00344E5C"/>
    <w:rsid w:val="003455D6"/>
    <w:rsid w:val="00347DC6"/>
    <w:rsid w:val="003504AE"/>
    <w:rsid w:val="003514DD"/>
    <w:rsid w:val="00352018"/>
    <w:rsid w:val="00352ADA"/>
    <w:rsid w:val="00353031"/>
    <w:rsid w:val="0035462E"/>
    <w:rsid w:val="003559E7"/>
    <w:rsid w:val="00356CA8"/>
    <w:rsid w:val="003570DA"/>
    <w:rsid w:val="003573D6"/>
    <w:rsid w:val="003578EC"/>
    <w:rsid w:val="003603D6"/>
    <w:rsid w:val="00361F92"/>
    <w:rsid w:val="00363D71"/>
    <w:rsid w:val="00363F6B"/>
    <w:rsid w:val="0036456E"/>
    <w:rsid w:val="00364985"/>
    <w:rsid w:val="00364E62"/>
    <w:rsid w:val="00365306"/>
    <w:rsid w:val="003659BC"/>
    <w:rsid w:val="0036650D"/>
    <w:rsid w:val="00366B56"/>
    <w:rsid w:val="00367367"/>
    <w:rsid w:val="00367796"/>
    <w:rsid w:val="003677FC"/>
    <w:rsid w:val="00367A82"/>
    <w:rsid w:val="00371648"/>
    <w:rsid w:val="003717A9"/>
    <w:rsid w:val="00371A38"/>
    <w:rsid w:val="003723B6"/>
    <w:rsid w:val="0037285C"/>
    <w:rsid w:val="00373645"/>
    <w:rsid w:val="003740CA"/>
    <w:rsid w:val="00375147"/>
    <w:rsid w:val="00375199"/>
    <w:rsid w:val="00375C23"/>
    <w:rsid w:val="003761D3"/>
    <w:rsid w:val="003767F3"/>
    <w:rsid w:val="00376815"/>
    <w:rsid w:val="00376D47"/>
    <w:rsid w:val="00376DE7"/>
    <w:rsid w:val="00377329"/>
    <w:rsid w:val="00383308"/>
    <w:rsid w:val="00385EC4"/>
    <w:rsid w:val="00386391"/>
    <w:rsid w:val="003866E7"/>
    <w:rsid w:val="00387892"/>
    <w:rsid w:val="00387A1B"/>
    <w:rsid w:val="00390CEC"/>
    <w:rsid w:val="00393555"/>
    <w:rsid w:val="003938B5"/>
    <w:rsid w:val="00394553"/>
    <w:rsid w:val="00397217"/>
    <w:rsid w:val="00397363"/>
    <w:rsid w:val="00397FB5"/>
    <w:rsid w:val="003A1307"/>
    <w:rsid w:val="003A1875"/>
    <w:rsid w:val="003A292C"/>
    <w:rsid w:val="003A2D0C"/>
    <w:rsid w:val="003A4FDE"/>
    <w:rsid w:val="003A5107"/>
    <w:rsid w:val="003A581E"/>
    <w:rsid w:val="003A6D59"/>
    <w:rsid w:val="003A7563"/>
    <w:rsid w:val="003B0C97"/>
    <w:rsid w:val="003B0D80"/>
    <w:rsid w:val="003B0E56"/>
    <w:rsid w:val="003B0F8B"/>
    <w:rsid w:val="003B2FAF"/>
    <w:rsid w:val="003B3012"/>
    <w:rsid w:val="003B3375"/>
    <w:rsid w:val="003B3F20"/>
    <w:rsid w:val="003B5406"/>
    <w:rsid w:val="003B5D67"/>
    <w:rsid w:val="003B6848"/>
    <w:rsid w:val="003B7149"/>
    <w:rsid w:val="003B71F3"/>
    <w:rsid w:val="003B7376"/>
    <w:rsid w:val="003B74E8"/>
    <w:rsid w:val="003C0722"/>
    <w:rsid w:val="003C199A"/>
    <w:rsid w:val="003C29BB"/>
    <w:rsid w:val="003C3EB4"/>
    <w:rsid w:val="003C5AB0"/>
    <w:rsid w:val="003C6ABC"/>
    <w:rsid w:val="003D095B"/>
    <w:rsid w:val="003D0C70"/>
    <w:rsid w:val="003D166B"/>
    <w:rsid w:val="003D187E"/>
    <w:rsid w:val="003D2483"/>
    <w:rsid w:val="003D3071"/>
    <w:rsid w:val="003D3E98"/>
    <w:rsid w:val="003D4CB5"/>
    <w:rsid w:val="003D4FAC"/>
    <w:rsid w:val="003D58DF"/>
    <w:rsid w:val="003D5AC1"/>
    <w:rsid w:val="003D62FA"/>
    <w:rsid w:val="003D695E"/>
    <w:rsid w:val="003D767A"/>
    <w:rsid w:val="003E01B5"/>
    <w:rsid w:val="003E03F0"/>
    <w:rsid w:val="003E2BF2"/>
    <w:rsid w:val="003E4377"/>
    <w:rsid w:val="003E439B"/>
    <w:rsid w:val="003E5255"/>
    <w:rsid w:val="003E67CA"/>
    <w:rsid w:val="003E7CAC"/>
    <w:rsid w:val="003F0FE1"/>
    <w:rsid w:val="003F12B7"/>
    <w:rsid w:val="003F2F6C"/>
    <w:rsid w:val="003F3365"/>
    <w:rsid w:val="003F38C5"/>
    <w:rsid w:val="003F560C"/>
    <w:rsid w:val="003F59A0"/>
    <w:rsid w:val="003F6054"/>
    <w:rsid w:val="003F68B4"/>
    <w:rsid w:val="003F7F28"/>
    <w:rsid w:val="004001DC"/>
    <w:rsid w:val="00400724"/>
    <w:rsid w:val="004014C7"/>
    <w:rsid w:val="00401C53"/>
    <w:rsid w:val="0040247C"/>
    <w:rsid w:val="0040355D"/>
    <w:rsid w:val="0040463C"/>
    <w:rsid w:val="00404767"/>
    <w:rsid w:val="00404A0F"/>
    <w:rsid w:val="00406D2A"/>
    <w:rsid w:val="0040712D"/>
    <w:rsid w:val="00410E0F"/>
    <w:rsid w:val="00414076"/>
    <w:rsid w:val="00414D84"/>
    <w:rsid w:val="0041579B"/>
    <w:rsid w:val="00415C02"/>
    <w:rsid w:val="00416820"/>
    <w:rsid w:val="00416A50"/>
    <w:rsid w:val="00417037"/>
    <w:rsid w:val="00417A5C"/>
    <w:rsid w:val="00417B21"/>
    <w:rsid w:val="00417FC2"/>
    <w:rsid w:val="0042026F"/>
    <w:rsid w:val="00420DF7"/>
    <w:rsid w:val="00422439"/>
    <w:rsid w:val="00422BB1"/>
    <w:rsid w:val="00422CDC"/>
    <w:rsid w:val="00422FD4"/>
    <w:rsid w:val="0042496A"/>
    <w:rsid w:val="00425270"/>
    <w:rsid w:val="00425F14"/>
    <w:rsid w:val="00426E04"/>
    <w:rsid w:val="00427162"/>
    <w:rsid w:val="00427398"/>
    <w:rsid w:val="00431D39"/>
    <w:rsid w:val="0043426C"/>
    <w:rsid w:val="00434728"/>
    <w:rsid w:val="00434AF3"/>
    <w:rsid w:val="00434E18"/>
    <w:rsid w:val="0043510A"/>
    <w:rsid w:val="0043531E"/>
    <w:rsid w:val="00435EE5"/>
    <w:rsid w:val="004402A6"/>
    <w:rsid w:val="004429B8"/>
    <w:rsid w:val="00443570"/>
    <w:rsid w:val="00444A2A"/>
    <w:rsid w:val="00445C34"/>
    <w:rsid w:val="004463D0"/>
    <w:rsid w:val="004472D3"/>
    <w:rsid w:val="0044772F"/>
    <w:rsid w:val="004477C7"/>
    <w:rsid w:val="00447AFD"/>
    <w:rsid w:val="00451137"/>
    <w:rsid w:val="004513F8"/>
    <w:rsid w:val="00452C3A"/>
    <w:rsid w:val="004537F9"/>
    <w:rsid w:val="00453D0F"/>
    <w:rsid w:val="00454B5A"/>
    <w:rsid w:val="00454FEA"/>
    <w:rsid w:val="00456B2D"/>
    <w:rsid w:val="004601DB"/>
    <w:rsid w:val="00462530"/>
    <w:rsid w:val="00462901"/>
    <w:rsid w:val="00463A6A"/>
    <w:rsid w:val="00463E3D"/>
    <w:rsid w:val="00464497"/>
    <w:rsid w:val="00464701"/>
    <w:rsid w:val="00464A56"/>
    <w:rsid w:val="00465DC9"/>
    <w:rsid w:val="00466635"/>
    <w:rsid w:val="00470DC6"/>
    <w:rsid w:val="00471FC0"/>
    <w:rsid w:val="00472AED"/>
    <w:rsid w:val="00472B6D"/>
    <w:rsid w:val="00473D0C"/>
    <w:rsid w:val="004745A5"/>
    <w:rsid w:val="00474F02"/>
    <w:rsid w:val="0047542D"/>
    <w:rsid w:val="00476EEB"/>
    <w:rsid w:val="00477436"/>
    <w:rsid w:val="0047779C"/>
    <w:rsid w:val="0048500C"/>
    <w:rsid w:val="004866D0"/>
    <w:rsid w:val="00486C29"/>
    <w:rsid w:val="00493F76"/>
    <w:rsid w:val="00494779"/>
    <w:rsid w:val="004959EF"/>
    <w:rsid w:val="00496FC0"/>
    <w:rsid w:val="00497C05"/>
    <w:rsid w:val="004A0F6E"/>
    <w:rsid w:val="004A162D"/>
    <w:rsid w:val="004A367F"/>
    <w:rsid w:val="004A538E"/>
    <w:rsid w:val="004A5454"/>
    <w:rsid w:val="004A60CB"/>
    <w:rsid w:val="004A7D81"/>
    <w:rsid w:val="004B2984"/>
    <w:rsid w:val="004B4B3C"/>
    <w:rsid w:val="004B5B67"/>
    <w:rsid w:val="004B6B41"/>
    <w:rsid w:val="004B7E23"/>
    <w:rsid w:val="004C03E9"/>
    <w:rsid w:val="004C087E"/>
    <w:rsid w:val="004C1D4E"/>
    <w:rsid w:val="004C36BA"/>
    <w:rsid w:val="004C3C89"/>
    <w:rsid w:val="004C53B9"/>
    <w:rsid w:val="004C552D"/>
    <w:rsid w:val="004C6B8C"/>
    <w:rsid w:val="004C6F20"/>
    <w:rsid w:val="004C77A7"/>
    <w:rsid w:val="004C7CED"/>
    <w:rsid w:val="004D0586"/>
    <w:rsid w:val="004D32D6"/>
    <w:rsid w:val="004D38D7"/>
    <w:rsid w:val="004D3DAA"/>
    <w:rsid w:val="004D51A6"/>
    <w:rsid w:val="004D6432"/>
    <w:rsid w:val="004D67FA"/>
    <w:rsid w:val="004D7897"/>
    <w:rsid w:val="004E0BFF"/>
    <w:rsid w:val="004E1798"/>
    <w:rsid w:val="004E2871"/>
    <w:rsid w:val="004E3479"/>
    <w:rsid w:val="004E3E5E"/>
    <w:rsid w:val="004E4174"/>
    <w:rsid w:val="004E417F"/>
    <w:rsid w:val="004E4474"/>
    <w:rsid w:val="004E6700"/>
    <w:rsid w:val="004E68BD"/>
    <w:rsid w:val="004E7509"/>
    <w:rsid w:val="004E7DF4"/>
    <w:rsid w:val="004F0892"/>
    <w:rsid w:val="004F11B9"/>
    <w:rsid w:val="004F133C"/>
    <w:rsid w:val="004F192A"/>
    <w:rsid w:val="004F199E"/>
    <w:rsid w:val="004F200A"/>
    <w:rsid w:val="004F3038"/>
    <w:rsid w:val="004F53D0"/>
    <w:rsid w:val="004F557C"/>
    <w:rsid w:val="004F56F4"/>
    <w:rsid w:val="004F7357"/>
    <w:rsid w:val="004F7B33"/>
    <w:rsid w:val="00502088"/>
    <w:rsid w:val="005026FC"/>
    <w:rsid w:val="0050336C"/>
    <w:rsid w:val="00503406"/>
    <w:rsid w:val="00503B51"/>
    <w:rsid w:val="00503EFD"/>
    <w:rsid w:val="00503F02"/>
    <w:rsid w:val="00505718"/>
    <w:rsid w:val="0050645F"/>
    <w:rsid w:val="0050658B"/>
    <w:rsid w:val="00507177"/>
    <w:rsid w:val="0050799B"/>
    <w:rsid w:val="00510894"/>
    <w:rsid w:val="00512367"/>
    <w:rsid w:val="00513C4B"/>
    <w:rsid w:val="00514956"/>
    <w:rsid w:val="005155C3"/>
    <w:rsid w:val="00515898"/>
    <w:rsid w:val="0051657D"/>
    <w:rsid w:val="00516CBE"/>
    <w:rsid w:val="00517CF4"/>
    <w:rsid w:val="005212BF"/>
    <w:rsid w:val="005237D5"/>
    <w:rsid w:val="00524767"/>
    <w:rsid w:val="00524FD1"/>
    <w:rsid w:val="00525CCB"/>
    <w:rsid w:val="00526507"/>
    <w:rsid w:val="005268D1"/>
    <w:rsid w:val="005268E4"/>
    <w:rsid w:val="005273DE"/>
    <w:rsid w:val="0053084D"/>
    <w:rsid w:val="00531F5A"/>
    <w:rsid w:val="005331D9"/>
    <w:rsid w:val="005360C7"/>
    <w:rsid w:val="0053666C"/>
    <w:rsid w:val="005367FA"/>
    <w:rsid w:val="00537750"/>
    <w:rsid w:val="00540968"/>
    <w:rsid w:val="00540A45"/>
    <w:rsid w:val="00541CFE"/>
    <w:rsid w:val="005431DC"/>
    <w:rsid w:val="00544FC1"/>
    <w:rsid w:val="00545B50"/>
    <w:rsid w:val="00546625"/>
    <w:rsid w:val="00546C67"/>
    <w:rsid w:val="00546D72"/>
    <w:rsid w:val="005509CB"/>
    <w:rsid w:val="00550AD6"/>
    <w:rsid w:val="00551807"/>
    <w:rsid w:val="00552AB4"/>
    <w:rsid w:val="00552EE5"/>
    <w:rsid w:val="0055404A"/>
    <w:rsid w:val="00556FEA"/>
    <w:rsid w:val="0055709B"/>
    <w:rsid w:val="005577BC"/>
    <w:rsid w:val="00560940"/>
    <w:rsid w:val="00563E59"/>
    <w:rsid w:val="005640C6"/>
    <w:rsid w:val="0056431E"/>
    <w:rsid w:val="005649C6"/>
    <w:rsid w:val="00565EFC"/>
    <w:rsid w:val="0056746C"/>
    <w:rsid w:val="00567739"/>
    <w:rsid w:val="00567A19"/>
    <w:rsid w:val="0057045F"/>
    <w:rsid w:val="005709D9"/>
    <w:rsid w:val="005710F2"/>
    <w:rsid w:val="00571874"/>
    <w:rsid w:val="00572BB3"/>
    <w:rsid w:val="005738F5"/>
    <w:rsid w:val="00573D82"/>
    <w:rsid w:val="0057523E"/>
    <w:rsid w:val="00575D1E"/>
    <w:rsid w:val="005773A1"/>
    <w:rsid w:val="00577F34"/>
    <w:rsid w:val="00580822"/>
    <w:rsid w:val="00580C48"/>
    <w:rsid w:val="0058218F"/>
    <w:rsid w:val="0058366C"/>
    <w:rsid w:val="00584D5A"/>
    <w:rsid w:val="00586BB6"/>
    <w:rsid w:val="00587212"/>
    <w:rsid w:val="005900CC"/>
    <w:rsid w:val="0059101C"/>
    <w:rsid w:val="005911A7"/>
    <w:rsid w:val="005921B5"/>
    <w:rsid w:val="0059391F"/>
    <w:rsid w:val="00594084"/>
    <w:rsid w:val="00594604"/>
    <w:rsid w:val="00594731"/>
    <w:rsid w:val="005A0A6B"/>
    <w:rsid w:val="005A0A6F"/>
    <w:rsid w:val="005A0B0E"/>
    <w:rsid w:val="005A11BA"/>
    <w:rsid w:val="005A17BA"/>
    <w:rsid w:val="005A2057"/>
    <w:rsid w:val="005A218D"/>
    <w:rsid w:val="005A330F"/>
    <w:rsid w:val="005A464A"/>
    <w:rsid w:val="005A5031"/>
    <w:rsid w:val="005A6A11"/>
    <w:rsid w:val="005A6AA7"/>
    <w:rsid w:val="005A7EBC"/>
    <w:rsid w:val="005B1346"/>
    <w:rsid w:val="005B1DBF"/>
    <w:rsid w:val="005B2250"/>
    <w:rsid w:val="005B485F"/>
    <w:rsid w:val="005B77E3"/>
    <w:rsid w:val="005B78E7"/>
    <w:rsid w:val="005C0615"/>
    <w:rsid w:val="005C156C"/>
    <w:rsid w:val="005C23E6"/>
    <w:rsid w:val="005C480F"/>
    <w:rsid w:val="005C4BB2"/>
    <w:rsid w:val="005C7C9B"/>
    <w:rsid w:val="005C7D5D"/>
    <w:rsid w:val="005C7E1C"/>
    <w:rsid w:val="005D0426"/>
    <w:rsid w:val="005D211D"/>
    <w:rsid w:val="005D3865"/>
    <w:rsid w:val="005D41C7"/>
    <w:rsid w:val="005D5FD2"/>
    <w:rsid w:val="005D6B13"/>
    <w:rsid w:val="005D6E14"/>
    <w:rsid w:val="005D71A9"/>
    <w:rsid w:val="005D7BA2"/>
    <w:rsid w:val="005E2010"/>
    <w:rsid w:val="005E3C79"/>
    <w:rsid w:val="005E5952"/>
    <w:rsid w:val="005E5A02"/>
    <w:rsid w:val="005E66C0"/>
    <w:rsid w:val="005E6F8D"/>
    <w:rsid w:val="005E7954"/>
    <w:rsid w:val="005F18E0"/>
    <w:rsid w:val="005F23FC"/>
    <w:rsid w:val="005F4162"/>
    <w:rsid w:val="005F4FEB"/>
    <w:rsid w:val="005F5E52"/>
    <w:rsid w:val="005F618C"/>
    <w:rsid w:val="005F6B4B"/>
    <w:rsid w:val="005F7209"/>
    <w:rsid w:val="006009AD"/>
    <w:rsid w:val="00600B8D"/>
    <w:rsid w:val="006012CE"/>
    <w:rsid w:val="00601411"/>
    <w:rsid w:val="006021B8"/>
    <w:rsid w:val="00602E9E"/>
    <w:rsid w:val="00602FEB"/>
    <w:rsid w:val="00606B8F"/>
    <w:rsid w:val="00606DBB"/>
    <w:rsid w:val="006076FD"/>
    <w:rsid w:val="00610BEB"/>
    <w:rsid w:val="00610CAB"/>
    <w:rsid w:val="00611388"/>
    <w:rsid w:val="006119C8"/>
    <w:rsid w:val="00613301"/>
    <w:rsid w:val="006135BA"/>
    <w:rsid w:val="006142F3"/>
    <w:rsid w:val="006151C3"/>
    <w:rsid w:val="00616B58"/>
    <w:rsid w:val="0061781F"/>
    <w:rsid w:val="00617C3E"/>
    <w:rsid w:val="00620C7D"/>
    <w:rsid w:val="006232A1"/>
    <w:rsid w:val="006242BB"/>
    <w:rsid w:val="006246A6"/>
    <w:rsid w:val="00624A5F"/>
    <w:rsid w:val="00625462"/>
    <w:rsid w:val="00625EC8"/>
    <w:rsid w:val="00626F6A"/>
    <w:rsid w:val="00626FFA"/>
    <w:rsid w:val="00627661"/>
    <w:rsid w:val="006326B4"/>
    <w:rsid w:val="00632A7D"/>
    <w:rsid w:val="0063356A"/>
    <w:rsid w:val="00633E88"/>
    <w:rsid w:val="006340F5"/>
    <w:rsid w:val="006362DE"/>
    <w:rsid w:val="006364FF"/>
    <w:rsid w:val="0063660F"/>
    <w:rsid w:val="00636C7D"/>
    <w:rsid w:val="00637196"/>
    <w:rsid w:val="0063743A"/>
    <w:rsid w:val="00637777"/>
    <w:rsid w:val="00640517"/>
    <w:rsid w:val="00640A94"/>
    <w:rsid w:val="00640C44"/>
    <w:rsid w:val="0064213E"/>
    <w:rsid w:val="006424EA"/>
    <w:rsid w:val="00642764"/>
    <w:rsid w:val="00645A90"/>
    <w:rsid w:val="006470BC"/>
    <w:rsid w:val="00650926"/>
    <w:rsid w:val="00650976"/>
    <w:rsid w:val="00652156"/>
    <w:rsid w:val="00652882"/>
    <w:rsid w:val="006528F4"/>
    <w:rsid w:val="006533F6"/>
    <w:rsid w:val="00653B4B"/>
    <w:rsid w:val="00654A06"/>
    <w:rsid w:val="00655C4E"/>
    <w:rsid w:val="006570DC"/>
    <w:rsid w:val="00657C46"/>
    <w:rsid w:val="0066190E"/>
    <w:rsid w:val="00661A98"/>
    <w:rsid w:val="006631E4"/>
    <w:rsid w:val="00663554"/>
    <w:rsid w:val="006653E9"/>
    <w:rsid w:val="006659DA"/>
    <w:rsid w:val="00665A73"/>
    <w:rsid w:val="0066630E"/>
    <w:rsid w:val="00667C2D"/>
    <w:rsid w:val="00667CC4"/>
    <w:rsid w:val="00670B71"/>
    <w:rsid w:val="00670BC3"/>
    <w:rsid w:val="00670D34"/>
    <w:rsid w:val="006710BA"/>
    <w:rsid w:val="0067128A"/>
    <w:rsid w:val="00671BE2"/>
    <w:rsid w:val="006724D6"/>
    <w:rsid w:val="00672807"/>
    <w:rsid w:val="00673DD6"/>
    <w:rsid w:val="00675723"/>
    <w:rsid w:val="006767F5"/>
    <w:rsid w:val="00676A62"/>
    <w:rsid w:val="00681B79"/>
    <w:rsid w:val="00682DC7"/>
    <w:rsid w:val="006830C4"/>
    <w:rsid w:val="0068460F"/>
    <w:rsid w:val="00686AE3"/>
    <w:rsid w:val="006873CD"/>
    <w:rsid w:val="0068748E"/>
    <w:rsid w:val="0068765E"/>
    <w:rsid w:val="006905B5"/>
    <w:rsid w:val="00690991"/>
    <w:rsid w:val="00691201"/>
    <w:rsid w:val="006914C0"/>
    <w:rsid w:val="0069160A"/>
    <w:rsid w:val="0069299A"/>
    <w:rsid w:val="00692ADD"/>
    <w:rsid w:val="00693664"/>
    <w:rsid w:val="006939ED"/>
    <w:rsid w:val="00694BB2"/>
    <w:rsid w:val="00694C2A"/>
    <w:rsid w:val="006953D0"/>
    <w:rsid w:val="006971BE"/>
    <w:rsid w:val="006972D4"/>
    <w:rsid w:val="006A15B6"/>
    <w:rsid w:val="006A480A"/>
    <w:rsid w:val="006A4981"/>
    <w:rsid w:val="006A5CE1"/>
    <w:rsid w:val="006A6B0E"/>
    <w:rsid w:val="006B01F7"/>
    <w:rsid w:val="006B07B6"/>
    <w:rsid w:val="006B1419"/>
    <w:rsid w:val="006B1F50"/>
    <w:rsid w:val="006B2D7B"/>
    <w:rsid w:val="006B349F"/>
    <w:rsid w:val="006B3DD6"/>
    <w:rsid w:val="006B457B"/>
    <w:rsid w:val="006B4886"/>
    <w:rsid w:val="006C0762"/>
    <w:rsid w:val="006C2390"/>
    <w:rsid w:val="006C2AEB"/>
    <w:rsid w:val="006C3372"/>
    <w:rsid w:val="006C4B5E"/>
    <w:rsid w:val="006C54BD"/>
    <w:rsid w:val="006C5B28"/>
    <w:rsid w:val="006C640C"/>
    <w:rsid w:val="006C6687"/>
    <w:rsid w:val="006C6D5B"/>
    <w:rsid w:val="006C75E1"/>
    <w:rsid w:val="006D0371"/>
    <w:rsid w:val="006D0906"/>
    <w:rsid w:val="006D14D6"/>
    <w:rsid w:val="006D3257"/>
    <w:rsid w:val="006D394B"/>
    <w:rsid w:val="006D477C"/>
    <w:rsid w:val="006D5680"/>
    <w:rsid w:val="006D5C9C"/>
    <w:rsid w:val="006D62FC"/>
    <w:rsid w:val="006D6B90"/>
    <w:rsid w:val="006D6D6B"/>
    <w:rsid w:val="006D7A4C"/>
    <w:rsid w:val="006E0645"/>
    <w:rsid w:val="006E069D"/>
    <w:rsid w:val="006E0DD0"/>
    <w:rsid w:val="006E132C"/>
    <w:rsid w:val="006E281A"/>
    <w:rsid w:val="006E2EB9"/>
    <w:rsid w:val="006E43BE"/>
    <w:rsid w:val="006E460B"/>
    <w:rsid w:val="006F0F2D"/>
    <w:rsid w:val="006F1835"/>
    <w:rsid w:val="006F1A75"/>
    <w:rsid w:val="006F2048"/>
    <w:rsid w:val="006F358B"/>
    <w:rsid w:val="00700CFF"/>
    <w:rsid w:val="00700E8D"/>
    <w:rsid w:val="007020BD"/>
    <w:rsid w:val="007033D9"/>
    <w:rsid w:val="00705843"/>
    <w:rsid w:val="0070584F"/>
    <w:rsid w:val="007060AE"/>
    <w:rsid w:val="00706907"/>
    <w:rsid w:val="007101D1"/>
    <w:rsid w:val="007108C4"/>
    <w:rsid w:val="00710B22"/>
    <w:rsid w:val="00711AD1"/>
    <w:rsid w:val="00712A22"/>
    <w:rsid w:val="00713CC8"/>
    <w:rsid w:val="00713F10"/>
    <w:rsid w:val="007156AE"/>
    <w:rsid w:val="007165E6"/>
    <w:rsid w:val="0071767B"/>
    <w:rsid w:val="00721486"/>
    <w:rsid w:val="007216C6"/>
    <w:rsid w:val="00721B0F"/>
    <w:rsid w:val="00722627"/>
    <w:rsid w:val="00722A78"/>
    <w:rsid w:val="00723E11"/>
    <w:rsid w:val="00724063"/>
    <w:rsid w:val="00724161"/>
    <w:rsid w:val="007268AF"/>
    <w:rsid w:val="00727287"/>
    <w:rsid w:val="007273EE"/>
    <w:rsid w:val="00730491"/>
    <w:rsid w:val="00731653"/>
    <w:rsid w:val="007337B7"/>
    <w:rsid w:val="0073389D"/>
    <w:rsid w:val="00733C3D"/>
    <w:rsid w:val="00734844"/>
    <w:rsid w:val="007375A3"/>
    <w:rsid w:val="0074144A"/>
    <w:rsid w:val="007414BE"/>
    <w:rsid w:val="00741843"/>
    <w:rsid w:val="0074293A"/>
    <w:rsid w:val="007434D1"/>
    <w:rsid w:val="0074469F"/>
    <w:rsid w:val="007449C1"/>
    <w:rsid w:val="007457B8"/>
    <w:rsid w:val="00745B85"/>
    <w:rsid w:val="007469BE"/>
    <w:rsid w:val="007502A8"/>
    <w:rsid w:val="00750854"/>
    <w:rsid w:val="00751869"/>
    <w:rsid w:val="00751F50"/>
    <w:rsid w:val="007526B0"/>
    <w:rsid w:val="00753B21"/>
    <w:rsid w:val="00757D6B"/>
    <w:rsid w:val="00760CB3"/>
    <w:rsid w:val="0076197F"/>
    <w:rsid w:val="00761A08"/>
    <w:rsid w:val="00762420"/>
    <w:rsid w:val="00762482"/>
    <w:rsid w:val="00762C3D"/>
    <w:rsid w:val="00762D84"/>
    <w:rsid w:val="007633C7"/>
    <w:rsid w:val="007651D0"/>
    <w:rsid w:val="007657D7"/>
    <w:rsid w:val="00765AEB"/>
    <w:rsid w:val="00766141"/>
    <w:rsid w:val="00766DCE"/>
    <w:rsid w:val="00767209"/>
    <w:rsid w:val="00767B10"/>
    <w:rsid w:val="00767D38"/>
    <w:rsid w:val="00770F15"/>
    <w:rsid w:val="00770FB8"/>
    <w:rsid w:val="0077225F"/>
    <w:rsid w:val="007758E8"/>
    <w:rsid w:val="007807E5"/>
    <w:rsid w:val="00781FDE"/>
    <w:rsid w:val="007821C7"/>
    <w:rsid w:val="007824FB"/>
    <w:rsid w:val="007840E4"/>
    <w:rsid w:val="007855E7"/>
    <w:rsid w:val="00785EE8"/>
    <w:rsid w:val="00787EC6"/>
    <w:rsid w:val="00792536"/>
    <w:rsid w:val="007934BC"/>
    <w:rsid w:val="007939A3"/>
    <w:rsid w:val="00796316"/>
    <w:rsid w:val="00796552"/>
    <w:rsid w:val="00796710"/>
    <w:rsid w:val="007967DA"/>
    <w:rsid w:val="007A12C9"/>
    <w:rsid w:val="007A25EA"/>
    <w:rsid w:val="007A25FD"/>
    <w:rsid w:val="007A2CD0"/>
    <w:rsid w:val="007A3911"/>
    <w:rsid w:val="007A4061"/>
    <w:rsid w:val="007A5DBA"/>
    <w:rsid w:val="007A6722"/>
    <w:rsid w:val="007A70CA"/>
    <w:rsid w:val="007A7398"/>
    <w:rsid w:val="007B0526"/>
    <w:rsid w:val="007B0854"/>
    <w:rsid w:val="007B1BF9"/>
    <w:rsid w:val="007B4105"/>
    <w:rsid w:val="007B73B2"/>
    <w:rsid w:val="007C0000"/>
    <w:rsid w:val="007C04BA"/>
    <w:rsid w:val="007C0D87"/>
    <w:rsid w:val="007C0D90"/>
    <w:rsid w:val="007C215A"/>
    <w:rsid w:val="007C3289"/>
    <w:rsid w:val="007C4B08"/>
    <w:rsid w:val="007C4BB7"/>
    <w:rsid w:val="007C5473"/>
    <w:rsid w:val="007C60B0"/>
    <w:rsid w:val="007C6A62"/>
    <w:rsid w:val="007C6B03"/>
    <w:rsid w:val="007C7B42"/>
    <w:rsid w:val="007D00D0"/>
    <w:rsid w:val="007D0D34"/>
    <w:rsid w:val="007D1374"/>
    <w:rsid w:val="007D1A08"/>
    <w:rsid w:val="007D2C3A"/>
    <w:rsid w:val="007D38C4"/>
    <w:rsid w:val="007D392D"/>
    <w:rsid w:val="007D70E2"/>
    <w:rsid w:val="007D72D4"/>
    <w:rsid w:val="007E0472"/>
    <w:rsid w:val="007E0E4C"/>
    <w:rsid w:val="007E1C66"/>
    <w:rsid w:val="007E26BD"/>
    <w:rsid w:val="007E2AE8"/>
    <w:rsid w:val="007E37DA"/>
    <w:rsid w:val="007E4567"/>
    <w:rsid w:val="007E68AE"/>
    <w:rsid w:val="007E76AF"/>
    <w:rsid w:val="007E77F0"/>
    <w:rsid w:val="007E7B4F"/>
    <w:rsid w:val="007E7CA9"/>
    <w:rsid w:val="007F03D1"/>
    <w:rsid w:val="007F1691"/>
    <w:rsid w:val="007F361E"/>
    <w:rsid w:val="007F36E9"/>
    <w:rsid w:val="007F382F"/>
    <w:rsid w:val="007F45CE"/>
    <w:rsid w:val="007F57A1"/>
    <w:rsid w:val="007F752E"/>
    <w:rsid w:val="008003C5"/>
    <w:rsid w:val="008008C8"/>
    <w:rsid w:val="00801516"/>
    <w:rsid w:val="008016D3"/>
    <w:rsid w:val="00801FCE"/>
    <w:rsid w:val="00803B5F"/>
    <w:rsid w:val="00803DF6"/>
    <w:rsid w:val="008055DC"/>
    <w:rsid w:val="0080583F"/>
    <w:rsid w:val="0080621F"/>
    <w:rsid w:val="00806A4A"/>
    <w:rsid w:val="00810323"/>
    <w:rsid w:val="008104F0"/>
    <w:rsid w:val="0081088A"/>
    <w:rsid w:val="00811B54"/>
    <w:rsid w:val="0081252D"/>
    <w:rsid w:val="00813FAE"/>
    <w:rsid w:val="00814CD6"/>
    <w:rsid w:val="00815226"/>
    <w:rsid w:val="00815B55"/>
    <w:rsid w:val="00816027"/>
    <w:rsid w:val="00820246"/>
    <w:rsid w:val="00821186"/>
    <w:rsid w:val="00821239"/>
    <w:rsid w:val="00821813"/>
    <w:rsid w:val="00822AD6"/>
    <w:rsid w:val="00822B18"/>
    <w:rsid w:val="00823FBB"/>
    <w:rsid w:val="00823FE3"/>
    <w:rsid w:val="008269F6"/>
    <w:rsid w:val="00830211"/>
    <w:rsid w:val="0083075B"/>
    <w:rsid w:val="00831388"/>
    <w:rsid w:val="00832620"/>
    <w:rsid w:val="008336A0"/>
    <w:rsid w:val="008337D8"/>
    <w:rsid w:val="00833AF6"/>
    <w:rsid w:val="0083409B"/>
    <w:rsid w:val="008344F6"/>
    <w:rsid w:val="00834794"/>
    <w:rsid w:val="00835269"/>
    <w:rsid w:val="00837821"/>
    <w:rsid w:val="00843ADB"/>
    <w:rsid w:val="0084423D"/>
    <w:rsid w:val="0084466A"/>
    <w:rsid w:val="008460F4"/>
    <w:rsid w:val="0084695D"/>
    <w:rsid w:val="00847C8A"/>
    <w:rsid w:val="008502A9"/>
    <w:rsid w:val="00850B25"/>
    <w:rsid w:val="00850D30"/>
    <w:rsid w:val="008529D1"/>
    <w:rsid w:val="00853453"/>
    <w:rsid w:val="00854795"/>
    <w:rsid w:val="00855A55"/>
    <w:rsid w:val="00856D6B"/>
    <w:rsid w:val="008575D2"/>
    <w:rsid w:val="00860131"/>
    <w:rsid w:val="00860FDE"/>
    <w:rsid w:val="008619A1"/>
    <w:rsid w:val="00862266"/>
    <w:rsid w:val="00866CC4"/>
    <w:rsid w:val="00866F23"/>
    <w:rsid w:val="008742EB"/>
    <w:rsid w:val="00875343"/>
    <w:rsid w:val="00875FCD"/>
    <w:rsid w:val="00876A04"/>
    <w:rsid w:val="00877DF1"/>
    <w:rsid w:val="00881B5C"/>
    <w:rsid w:val="00881FEA"/>
    <w:rsid w:val="0088434F"/>
    <w:rsid w:val="008862E8"/>
    <w:rsid w:val="0088684D"/>
    <w:rsid w:val="0088745D"/>
    <w:rsid w:val="00887490"/>
    <w:rsid w:val="00890017"/>
    <w:rsid w:val="00890817"/>
    <w:rsid w:val="00890F4E"/>
    <w:rsid w:val="0089133A"/>
    <w:rsid w:val="0089282C"/>
    <w:rsid w:val="00892CF6"/>
    <w:rsid w:val="00893298"/>
    <w:rsid w:val="008934B6"/>
    <w:rsid w:val="0089400C"/>
    <w:rsid w:val="00894251"/>
    <w:rsid w:val="00895BC0"/>
    <w:rsid w:val="00895C7E"/>
    <w:rsid w:val="00896389"/>
    <w:rsid w:val="00896540"/>
    <w:rsid w:val="0089685C"/>
    <w:rsid w:val="00896DB2"/>
    <w:rsid w:val="00897F13"/>
    <w:rsid w:val="008A0796"/>
    <w:rsid w:val="008A07F1"/>
    <w:rsid w:val="008A0ECA"/>
    <w:rsid w:val="008A16A8"/>
    <w:rsid w:val="008A21B0"/>
    <w:rsid w:val="008A2A2D"/>
    <w:rsid w:val="008A35CF"/>
    <w:rsid w:val="008A3B1F"/>
    <w:rsid w:val="008A5E02"/>
    <w:rsid w:val="008A6357"/>
    <w:rsid w:val="008A683F"/>
    <w:rsid w:val="008A6A62"/>
    <w:rsid w:val="008A72AE"/>
    <w:rsid w:val="008A7933"/>
    <w:rsid w:val="008B0472"/>
    <w:rsid w:val="008B0F2E"/>
    <w:rsid w:val="008B5D52"/>
    <w:rsid w:val="008C0570"/>
    <w:rsid w:val="008C0A1A"/>
    <w:rsid w:val="008C2E07"/>
    <w:rsid w:val="008C3521"/>
    <w:rsid w:val="008C4A03"/>
    <w:rsid w:val="008C4C74"/>
    <w:rsid w:val="008C53DE"/>
    <w:rsid w:val="008C6276"/>
    <w:rsid w:val="008C6D26"/>
    <w:rsid w:val="008C6E5A"/>
    <w:rsid w:val="008C7A89"/>
    <w:rsid w:val="008D0DF9"/>
    <w:rsid w:val="008D21D5"/>
    <w:rsid w:val="008D2AB2"/>
    <w:rsid w:val="008D313C"/>
    <w:rsid w:val="008D4246"/>
    <w:rsid w:val="008D42BE"/>
    <w:rsid w:val="008D4830"/>
    <w:rsid w:val="008D588B"/>
    <w:rsid w:val="008D5A96"/>
    <w:rsid w:val="008D6101"/>
    <w:rsid w:val="008D64CD"/>
    <w:rsid w:val="008D699F"/>
    <w:rsid w:val="008D731A"/>
    <w:rsid w:val="008E1750"/>
    <w:rsid w:val="008E3F7D"/>
    <w:rsid w:val="008E4475"/>
    <w:rsid w:val="008E6D46"/>
    <w:rsid w:val="008E7866"/>
    <w:rsid w:val="008F1281"/>
    <w:rsid w:val="008F28C1"/>
    <w:rsid w:val="008F4736"/>
    <w:rsid w:val="008F56FD"/>
    <w:rsid w:val="008F5783"/>
    <w:rsid w:val="008F6931"/>
    <w:rsid w:val="008F712A"/>
    <w:rsid w:val="00900F39"/>
    <w:rsid w:val="00901641"/>
    <w:rsid w:val="009025CE"/>
    <w:rsid w:val="00902CA6"/>
    <w:rsid w:val="009040DE"/>
    <w:rsid w:val="00910ADA"/>
    <w:rsid w:val="009113B2"/>
    <w:rsid w:val="00912428"/>
    <w:rsid w:val="00912FC1"/>
    <w:rsid w:val="009140E3"/>
    <w:rsid w:val="00914140"/>
    <w:rsid w:val="009169C1"/>
    <w:rsid w:val="009209C6"/>
    <w:rsid w:val="00920D4D"/>
    <w:rsid w:val="0092174C"/>
    <w:rsid w:val="00923F55"/>
    <w:rsid w:val="00925436"/>
    <w:rsid w:val="00927713"/>
    <w:rsid w:val="009279A2"/>
    <w:rsid w:val="00930383"/>
    <w:rsid w:val="00930D71"/>
    <w:rsid w:val="009310E5"/>
    <w:rsid w:val="00931E5A"/>
    <w:rsid w:val="00932536"/>
    <w:rsid w:val="009348DF"/>
    <w:rsid w:val="00934954"/>
    <w:rsid w:val="009352D1"/>
    <w:rsid w:val="00937565"/>
    <w:rsid w:val="00937D1E"/>
    <w:rsid w:val="00937D76"/>
    <w:rsid w:val="009408F6"/>
    <w:rsid w:val="00940D21"/>
    <w:rsid w:val="009413F4"/>
    <w:rsid w:val="00942887"/>
    <w:rsid w:val="00943095"/>
    <w:rsid w:val="00943366"/>
    <w:rsid w:val="0094343D"/>
    <w:rsid w:val="00943685"/>
    <w:rsid w:val="00943C9C"/>
    <w:rsid w:val="0094467B"/>
    <w:rsid w:val="00944746"/>
    <w:rsid w:val="00944B5A"/>
    <w:rsid w:val="0094567B"/>
    <w:rsid w:val="00945CA0"/>
    <w:rsid w:val="00945F4B"/>
    <w:rsid w:val="00946C56"/>
    <w:rsid w:val="009504E4"/>
    <w:rsid w:val="009550B2"/>
    <w:rsid w:val="0095515F"/>
    <w:rsid w:val="00955BB4"/>
    <w:rsid w:val="00957154"/>
    <w:rsid w:val="009639A2"/>
    <w:rsid w:val="009642EA"/>
    <w:rsid w:val="0096613C"/>
    <w:rsid w:val="009663D7"/>
    <w:rsid w:val="00966ABB"/>
    <w:rsid w:val="009677B5"/>
    <w:rsid w:val="00967BBB"/>
    <w:rsid w:val="00970E1F"/>
    <w:rsid w:val="00971737"/>
    <w:rsid w:val="00971F7C"/>
    <w:rsid w:val="0097251E"/>
    <w:rsid w:val="00972668"/>
    <w:rsid w:val="00973344"/>
    <w:rsid w:val="00973C21"/>
    <w:rsid w:val="00975A3C"/>
    <w:rsid w:val="0097659A"/>
    <w:rsid w:val="0097716A"/>
    <w:rsid w:val="00977793"/>
    <w:rsid w:val="00977B46"/>
    <w:rsid w:val="009807CB"/>
    <w:rsid w:val="00980906"/>
    <w:rsid w:val="00981889"/>
    <w:rsid w:val="009826AA"/>
    <w:rsid w:val="0098454B"/>
    <w:rsid w:val="0098692F"/>
    <w:rsid w:val="00990B6D"/>
    <w:rsid w:val="00992A54"/>
    <w:rsid w:val="00993999"/>
    <w:rsid w:val="00993B71"/>
    <w:rsid w:val="00995163"/>
    <w:rsid w:val="00995227"/>
    <w:rsid w:val="00995859"/>
    <w:rsid w:val="0099612A"/>
    <w:rsid w:val="009973D7"/>
    <w:rsid w:val="009A2531"/>
    <w:rsid w:val="009A30CC"/>
    <w:rsid w:val="009A38A3"/>
    <w:rsid w:val="009A49D9"/>
    <w:rsid w:val="009A5832"/>
    <w:rsid w:val="009A6009"/>
    <w:rsid w:val="009A7EC1"/>
    <w:rsid w:val="009B0264"/>
    <w:rsid w:val="009B0382"/>
    <w:rsid w:val="009B20EF"/>
    <w:rsid w:val="009B5979"/>
    <w:rsid w:val="009B79BC"/>
    <w:rsid w:val="009B7F4A"/>
    <w:rsid w:val="009C00A4"/>
    <w:rsid w:val="009C01CB"/>
    <w:rsid w:val="009C1733"/>
    <w:rsid w:val="009C2BD6"/>
    <w:rsid w:val="009C36DB"/>
    <w:rsid w:val="009D02FD"/>
    <w:rsid w:val="009D218A"/>
    <w:rsid w:val="009D269E"/>
    <w:rsid w:val="009D298D"/>
    <w:rsid w:val="009D3247"/>
    <w:rsid w:val="009D3449"/>
    <w:rsid w:val="009D5B94"/>
    <w:rsid w:val="009D73BF"/>
    <w:rsid w:val="009D75DF"/>
    <w:rsid w:val="009D76BB"/>
    <w:rsid w:val="009D77D7"/>
    <w:rsid w:val="009E022B"/>
    <w:rsid w:val="009E2D21"/>
    <w:rsid w:val="009E3DCD"/>
    <w:rsid w:val="009E3FF4"/>
    <w:rsid w:val="009E41B2"/>
    <w:rsid w:val="009E5566"/>
    <w:rsid w:val="009E686A"/>
    <w:rsid w:val="009E6A6E"/>
    <w:rsid w:val="009E6E43"/>
    <w:rsid w:val="009E7047"/>
    <w:rsid w:val="009E7143"/>
    <w:rsid w:val="009E7304"/>
    <w:rsid w:val="009E73B7"/>
    <w:rsid w:val="009E7A02"/>
    <w:rsid w:val="009E7DA2"/>
    <w:rsid w:val="009F0023"/>
    <w:rsid w:val="009F0482"/>
    <w:rsid w:val="009F1E9C"/>
    <w:rsid w:val="009F32B9"/>
    <w:rsid w:val="009F47BB"/>
    <w:rsid w:val="00A02742"/>
    <w:rsid w:val="00A063FD"/>
    <w:rsid w:val="00A06636"/>
    <w:rsid w:val="00A06A5F"/>
    <w:rsid w:val="00A06E20"/>
    <w:rsid w:val="00A0727C"/>
    <w:rsid w:val="00A10687"/>
    <w:rsid w:val="00A12267"/>
    <w:rsid w:val="00A12519"/>
    <w:rsid w:val="00A141E9"/>
    <w:rsid w:val="00A143A2"/>
    <w:rsid w:val="00A144F8"/>
    <w:rsid w:val="00A14753"/>
    <w:rsid w:val="00A1663B"/>
    <w:rsid w:val="00A16954"/>
    <w:rsid w:val="00A2012A"/>
    <w:rsid w:val="00A2065B"/>
    <w:rsid w:val="00A20E29"/>
    <w:rsid w:val="00A2173D"/>
    <w:rsid w:val="00A229EE"/>
    <w:rsid w:val="00A23CEA"/>
    <w:rsid w:val="00A240E5"/>
    <w:rsid w:val="00A256D5"/>
    <w:rsid w:val="00A259EC"/>
    <w:rsid w:val="00A2623A"/>
    <w:rsid w:val="00A26E0B"/>
    <w:rsid w:val="00A27112"/>
    <w:rsid w:val="00A276B4"/>
    <w:rsid w:val="00A27AD5"/>
    <w:rsid w:val="00A303A2"/>
    <w:rsid w:val="00A32FFB"/>
    <w:rsid w:val="00A34126"/>
    <w:rsid w:val="00A35112"/>
    <w:rsid w:val="00A357F1"/>
    <w:rsid w:val="00A36847"/>
    <w:rsid w:val="00A402C8"/>
    <w:rsid w:val="00A4031A"/>
    <w:rsid w:val="00A40A06"/>
    <w:rsid w:val="00A429EE"/>
    <w:rsid w:val="00A438B2"/>
    <w:rsid w:val="00A44A1C"/>
    <w:rsid w:val="00A454BF"/>
    <w:rsid w:val="00A468C4"/>
    <w:rsid w:val="00A50E87"/>
    <w:rsid w:val="00A5148F"/>
    <w:rsid w:val="00A51CB5"/>
    <w:rsid w:val="00A52AC8"/>
    <w:rsid w:val="00A535A8"/>
    <w:rsid w:val="00A54823"/>
    <w:rsid w:val="00A549CF"/>
    <w:rsid w:val="00A54FCA"/>
    <w:rsid w:val="00A55361"/>
    <w:rsid w:val="00A560F1"/>
    <w:rsid w:val="00A57646"/>
    <w:rsid w:val="00A604DD"/>
    <w:rsid w:val="00A609F9"/>
    <w:rsid w:val="00A60B98"/>
    <w:rsid w:val="00A61124"/>
    <w:rsid w:val="00A61941"/>
    <w:rsid w:val="00A61B90"/>
    <w:rsid w:val="00A61D40"/>
    <w:rsid w:val="00A63A3C"/>
    <w:rsid w:val="00A64406"/>
    <w:rsid w:val="00A6461F"/>
    <w:rsid w:val="00A646A3"/>
    <w:rsid w:val="00A648C3"/>
    <w:rsid w:val="00A65E27"/>
    <w:rsid w:val="00A66910"/>
    <w:rsid w:val="00A66E93"/>
    <w:rsid w:val="00A674E4"/>
    <w:rsid w:val="00A6797A"/>
    <w:rsid w:val="00A67ED4"/>
    <w:rsid w:val="00A71EDA"/>
    <w:rsid w:val="00A71F17"/>
    <w:rsid w:val="00A734AB"/>
    <w:rsid w:val="00A73AE9"/>
    <w:rsid w:val="00A76186"/>
    <w:rsid w:val="00A76715"/>
    <w:rsid w:val="00A775E2"/>
    <w:rsid w:val="00A778E4"/>
    <w:rsid w:val="00A77C69"/>
    <w:rsid w:val="00A806C7"/>
    <w:rsid w:val="00A80706"/>
    <w:rsid w:val="00A82041"/>
    <w:rsid w:val="00A8316C"/>
    <w:rsid w:val="00A83302"/>
    <w:rsid w:val="00A856E0"/>
    <w:rsid w:val="00A85F4B"/>
    <w:rsid w:val="00A8731C"/>
    <w:rsid w:val="00A87794"/>
    <w:rsid w:val="00A90281"/>
    <w:rsid w:val="00A912E9"/>
    <w:rsid w:val="00A92251"/>
    <w:rsid w:val="00AA0BF0"/>
    <w:rsid w:val="00AA12BE"/>
    <w:rsid w:val="00AA1D3D"/>
    <w:rsid w:val="00AA5429"/>
    <w:rsid w:val="00AA5AFE"/>
    <w:rsid w:val="00AA63EF"/>
    <w:rsid w:val="00AA73AC"/>
    <w:rsid w:val="00AA7778"/>
    <w:rsid w:val="00AA7BCD"/>
    <w:rsid w:val="00AB1661"/>
    <w:rsid w:val="00AB37E6"/>
    <w:rsid w:val="00AB5157"/>
    <w:rsid w:val="00AB5503"/>
    <w:rsid w:val="00AB581B"/>
    <w:rsid w:val="00AB5AE3"/>
    <w:rsid w:val="00AB62C2"/>
    <w:rsid w:val="00AC226E"/>
    <w:rsid w:val="00AC238E"/>
    <w:rsid w:val="00AC3378"/>
    <w:rsid w:val="00AC45AC"/>
    <w:rsid w:val="00AC48BE"/>
    <w:rsid w:val="00AC48E0"/>
    <w:rsid w:val="00AC4C39"/>
    <w:rsid w:val="00AC4E0C"/>
    <w:rsid w:val="00AC69DA"/>
    <w:rsid w:val="00AC7AAB"/>
    <w:rsid w:val="00AC7D08"/>
    <w:rsid w:val="00AD0465"/>
    <w:rsid w:val="00AD0680"/>
    <w:rsid w:val="00AD113D"/>
    <w:rsid w:val="00AD1910"/>
    <w:rsid w:val="00AD2AEA"/>
    <w:rsid w:val="00AD2CE1"/>
    <w:rsid w:val="00AD341F"/>
    <w:rsid w:val="00AD36FE"/>
    <w:rsid w:val="00AD3988"/>
    <w:rsid w:val="00AD4600"/>
    <w:rsid w:val="00AD4F64"/>
    <w:rsid w:val="00AD5900"/>
    <w:rsid w:val="00AD5B2A"/>
    <w:rsid w:val="00AD625A"/>
    <w:rsid w:val="00AD644D"/>
    <w:rsid w:val="00AD6C30"/>
    <w:rsid w:val="00AD6DCC"/>
    <w:rsid w:val="00AD7899"/>
    <w:rsid w:val="00AE15BF"/>
    <w:rsid w:val="00AE1F46"/>
    <w:rsid w:val="00AE2065"/>
    <w:rsid w:val="00AE3286"/>
    <w:rsid w:val="00AE3433"/>
    <w:rsid w:val="00AE4421"/>
    <w:rsid w:val="00AE6EAB"/>
    <w:rsid w:val="00AE785A"/>
    <w:rsid w:val="00AE79EE"/>
    <w:rsid w:val="00AF0B06"/>
    <w:rsid w:val="00AF0D64"/>
    <w:rsid w:val="00AF187F"/>
    <w:rsid w:val="00AF2BEB"/>
    <w:rsid w:val="00AF3EE1"/>
    <w:rsid w:val="00AF43FE"/>
    <w:rsid w:val="00AF5227"/>
    <w:rsid w:val="00AF5CA4"/>
    <w:rsid w:val="00AF61BA"/>
    <w:rsid w:val="00B007EE"/>
    <w:rsid w:val="00B029E8"/>
    <w:rsid w:val="00B046C8"/>
    <w:rsid w:val="00B06158"/>
    <w:rsid w:val="00B07A5E"/>
    <w:rsid w:val="00B07CBC"/>
    <w:rsid w:val="00B07CFB"/>
    <w:rsid w:val="00B10320"/>
    <w:rsid w:val="00B10CBA"/>
    <w:rsid w:val="00B11656"/>
    <w:rsid w:val="00B12828"/>
    <w:rsid w:val="00B13256"/>
    <w:rsid w:val="00B14202"/>
    <w:rsid w:val="00B16523"/>
    <w:rsid w:val="00B1752A"/>
    <w:rsid w:val="00B208F3"/>
    <w:rsid w:val="00B23093"/>
    <w:rsid w:val="00B239DB"/>
    <w:rsid w:val="00B24C60"/>
    <w:rsid w:val="00B27E30"/>
    <w:rsid w:val="00B30A0D"/>
    <w:rsid w:val="00B319A4"/>
    <w:rsid w:val="00B31CA3"/>
    <w:rsid w:val="00B322DF"/>
    <w:rsid w:val="00B32FF8"/>
    <w:rsid w:val="00B33616"/>
    <w:rsid w:val="00B33DA6"/>
    <w:rsid w:val="00B34441"/>
    <w:rsid w:val="00B35653"/>
    <w:rsid w:val="00B3798B"/>
    <w:rsid w:val="00B414CB"/>
    <w:rsid w:val="00B4172D"/>
    <w:rsid w:val="00B41FEC"/>
    <w:rsid w:val="00B447FA"/>
    <w:rsid w:val="00B4549E"/>
    <w:rsid w:val="00B45506"/>
    <w:rsid w:val="00B45A31"/>
    <w:rsid w:val="00B50993"/>
    <w:rsid w:val="00B516CC"/>
    <w:rsid w:val="00B55450"/>
    <w:rsid w:val="00B605C6"/>
    <w:rsid w:val="00B6060F"/>
    <w:rsid w:val="00B60E0F"/>
    <w:rsid w:val="00B61D8F"/>
    <w:rsid w:val="00B62E40"/>
    <w:rsid w:val="00B63AF8"/>
    <w:rsid w:val="00B63C1B"/>
    <w:rsid w:val="00B65DE5"/>
    <w:rsid w:val="00B6621C"/>
    <w:rsid w:val="00B6637E"/>
    <w:rsid w:val="00B66B58"/>
    <w:rsid w:val="00B66F57"/>
    <w:rsid w:val="00B67900"/>
    <w:rsid w:val="00B706E7"/>
    <w:rsid w:val="00B7097E"/>
    <w:rsid w:val="00B71D1C"/>
    <w:rsid w:val="00B72788"/>
    <w:rsid w:val="00B72F12"/>
    <w:rsid w:val="00B745D8"/>
    <w:rsid w:val="00B7597E"/>
    <w:rsid w:val="00B75EAB"/>
    <w:rsid w:val="00B761DF"/>
    <w:rsid w:val="00B772D0"/>
    <w:rsid w:val="00B80AB2"/>
    <w:rsid w:val="00B80F42"/>
    <w:rsid w:val="00B8251B"/>
    <w:rsid w:val="00B83314"/>
    <w:rsid w:val="00B83328"/>
    <w:rsid w:val="00B83C47"/>
    <w:rsid w:val="00B85A67"/>
    <w:rsid w:val="00B85F02"/>
    <w:rsid w:val="00B91976"/>
    <w:rsid w:val="00B92249"/>
    <w:rsid w:val="00B923F0"/>
    <w:rsid w:val="00B92FF7"/>
    <w:rsid w:val="00B93C6E"/>
    <w:rsid w:val="00B93DD7"/>
    <w:rsid w:val="00B94536"/>
    <w:rsid w:val="00B9470E"/>
    <w:rsid w:val="00B9649D"/>
    <w:rsid w:val="00B9696B"/>
    <w:rsid w:val="00B96B92"/>
    <w:rsid w:val="00BA060E"/>
    <w:rsid w:val="00BA0DBA"/>
    <w:rsid w:val="00BA21B1"/>
    <w:rsid w:val="00BA344C"/>
    <w:rsid w:val="00BA65A6"/>
    <w:rsid w:val="00BA683F"/>
    <w:rsid w:val="00BA6CB6"/>
    <w:rsid w:val="00BB17A4"/>
    <w:rsid w:val="00BB4370"/>
    <w:rsid w:val="00BB478F"/>
    <w:rsid w:val="00BB5039"/>
    <w:rsid w:val="00BC0750"/>
    <w:rsid w:val="00BC09BE"/>
    <w:rsid w:val="00BC09E3"/>
    <w:rsid w:val="00BC260A"/>
    <w:rsid w:val="00BC2FE2"/>
    <w:rsid w:val="00BC37C4"/>
    <w:rsid w:val="00BC43FB"/>
    <w:rsid w:val="00BC47F7"/>
    <w:rsid w:val="00BC4ECA"/>
    <w:rsid w:val="00BC5F1E"/>
    <w:rsid w:val="00BC6DCA"/>
    <w:rsid w:val="00BC7876"/>
    <w:rsid w:val="00BC7917"/>
    <w:rsid w:val="00BC7BDE"/>
    <w:rsid w:val="00BC7C30"/>
    <w:rsid w:val="00BC7E05"/>
    <w:rsid w:val="00BD0B2F"/>
    <w:rsid w:val="00BD1A0A"/>
    <w:rsid w:val="00BD24D9"/>
    <w:rsid w:val="00BD2FB4"/>
    <w:rsid w:val="00BD30D6"/>
    <w:rsid w:val="00BD4FD7"/>
    <w:rsid w:val="00BD55BA"/>
    <w:rsid w:val="00BE0090"/>
    <w:rsid w:val="00BE01A8"/>
    <w:rsid w:val="00BE1015"/>
    <w:rsid w:val="00BE1066"/>
    <w:rsid w:val="00BE12D8"/>
    <w:rsid w:val="00BE1388"/>
    <w:rsid w:val="00BE24DB"/>
    <w:rsid w:val="00BE4633"/>
    <w:rsid w:val="00BE4702"/>
    <w:rsid w:val="00BE5E9D"/>
    <w:rsid w:val="00BE6BD3"/>
    <w:rsid w:val="00BE6D62"/>
    <w:rsid w:val="00BE7103"/>
    <w:rsid w:val="00BE7128"/>
    <w:rsid w:val="00BE747D"/>
    <w:rsid w:val="00BE7509"/>
    <w:rsid w:val="00BE7AB4"/>
    <w:rsid w:val="00BF02F1"/>
    <w:rsid w:val="00BF077A"/>
    <w:rsid w:val="00BF3088"/>
    <w:rsid w:val="00BF517E"/>
    <w:rsid w:val="00BF5BDF"/>
    <w:rsid w:val="00BF602C"/>
    <w:rsid w:val="00BF63C2"/>
    <w:rsid w:val="00BF777C"/>
    <w:rsid w:val="00C01E76"/>
    <w:rsid w:val="00C0202F"/>
    <w:rsid w:val="00C02C64"/>
    <w:rsid w:val="00C03217"/>
    <w:rsid w:val="00C10261"/>
    <w:rsid w:val="00C10A22"/>
    <w:rsid w:val="00C110D6"/>
    <w:rsid w:val="00C11270"/>
    <w:rsid w:val="00C11D9F"/>
    <w:rsid w:val="00C11E55"/>
    <w:rsid w:val="00C1365F"/>
    <w:rsid w:val="00C13A8D"/>
    <w:rsid w:val="00C14033"/>
    <w:rsid w:val="00C15233"/>
    <w:rsid w:val="00C177A9"/>
    <w:rsid w:val="00C17C6F"/>
    <w:rsid w:val="00C2147F"/>
    <w:rsid w:val="00C22009"/>
    <w:rsid w:val="00C23342"/>
    <w:rsid w:val="00C23D9A"/>
    <w:rsid w:val="00C24CE1"/>
    <w:rsid w:val="00C24EA7"/>
    <w:rsid w:val="00C251AF"/>
    <w:rsid w:val="00C27686"/>
    <w:rsid w:val="00C27733"/>
    <w:rsid w:val="00C27E7C"/>
    <w:rsid w:val="00C30F36"/>
    <w:rsid w:val="00C31830"/>
    <w:rsid w:val="00C31FBC"/>
    <w:rsid w:val="00C33849"/>
    <w:rsid w:val="00C34368"/>
    <w:rsid w:val="00C34652"/>
    <w:rsid w:val="00C34EE0"/>
    <w:rsid w:val="00C366F1"/>
    <w:rsid w:val="00C3700A"/>
    <w:rsid w:val="00C374B9"/>
    <w:rsid w:val="00C37C66"/>
    <w:rsid w:val="00C40944"/>
    <w:rsid w:val="00C41498"/>
    <w:rsid w:val="00C41A3F"/>
    <w:rsid w:val="00C41FAE"/>
    <w:rsid w:val="00C422F2"/>
    <w:rsid w:val="00C433C6"/>
    <w:rsid w:val="00C43C98"/>
    <w:rsid w:val="00C46C94"/>
    <w:rsid w:val="00C5030D"/>
    <w:rsid w:val="00C5058A"/>
    <w:rsid w:val="00C510C8"/>
    <w:rsid w:val="00C514B3"/>
    <w:rsid w:val="00C5185D"/>
    <w:rsid w:val="00C52E5F"/>
    <w:rsid w:val="00C52FDB"/>
    <w:rsid w:val="00C5627C"/>
    <w:rsid w:val="00C56A6C"/>
    <w:rsid w:val="00C6082D"/>
    <w:rsid w:val="00C61291"/>
    <w:rsid w:val="00C61CD0"/>
    <w:rsid w:val="00C621C2"/>
    <w:rsid w:val="00C624DB"/>
    <w:rsid w:val="00C637AA"/>
    <w:rsid w:val="00C656F9"/>
    <w:rsid w:val="00C664EE"/>
    <w:rsid w:val="00C6748C"/>
    <w:rsid w:val="00C7134A"/>
    <w:rsid w:val="00C71650"/>
    <w:rsid w:val="00C7291A"/>
    <w:rsid w:val="00C729B8"/>
    <w:rsid w:val="00C75E1F"/>
    <w:rsid w:val="00C765D3"/>
    <w:rsid w:val="00C76B89"/>
    <w:rsid w:val="00C77A7F"/>
    <w:rsid w:val="00C80839"/>
    <w:rsid w:val="00C83CDC"/>
    <w:rsid w:val="00C84DBB"/>
    <w:rsid w:val="00C85798"/>
    <w:rsid w:val="00C85B41"/>
    <w:rsid w:val="00C865A5"/>
    <w:rsid w:val="00C87154"/>
    <w:rsid w:val="00C90967"/>
    <w:rsid w:val="00C9187B"/>
    <w:rsid w:val="00C92663"/>
    <w:rsid w:val="00C9451D"/>
    <w:rsid w:val="00C94CC9"/>
    <w:rsid w:val="00C94D1E"/>
    <w:rsid w:val="00C94F96"/>
    <w:rsid w:val="00C97A17"/>
    <w:rsid w:val="00C97DA3"/>
    <w:rsid w:val="00CA39D9"/>
    <w:rsid w:val="00CA548B"/>
    <w:rsid w:val="00CA6624"/>
    <w:rsid w:val="00CA6875"/>
    <w:rsid w:val="00CA6EDA"/>
    <w:rsid w:val="00CB22F2"/>
    <w:rsid w:val="00CB3D45"/>
    <w:rsid w:val="00CB3E7D"/>
    <w:rsid w:val="00CB5BD3"/>
    <w:rsid w:val="00CB5C07"/>
    <w:rsid w:val="00CB5C08"/>
    <w:rsid w:val="00CB7DEC"/>
    <w:rsid w:val="00CB7FFB"/>
    <w:rsid w:val="00CC15AB"/>
    <w:rsid w:val="00CC2A01"/>
    <w:rsid w:val="00CC3565"/>
    <w:rsid w:val="00CC40AA"/>
    <w:rsid w:val="00CC5284"/>
    <w:rsid w:val="00CC5F3C"/>
    <w:rsid w:val="00CC7A7C"/>
    <w:rsid w:val="00CD29AC"/>
    <w:rsid w:val="00CD3DAE"/>
    <w:rsid w:val="00CD43E6"/>
    <w:rsid w:val="00CD4C4F"/>
    <w:rsid w:val="00CD4CD3"/>
    <w:rsid w:val="00CD670E"/>
    <w:rsid w:val="00CD704E"/>
    <w:rsid w:val="00CE35BA"/>
    <w:rsid w:val="00CE3DDA"/>
    <w:rsid w:val="00CE4005"/>
    <w:rsid w:val="00CE59FA"/>
    <w:rsid w:val="00CE5BF2"/>
    <w:rsid w:val="00CE71CA"/>
    <w:rsid w:val="00CE7B88"/>
    <w:rsid w:val="00CF02BE"/>
    <w:rsid w:val="00CF1536"/>
    <w:rsid w:val="00CF2E09"/>
    <w:rsid w:val="00CF3537"/>
    <w:rsid w:val="00CF3D0F"/>
    <w:rsid w:val="00CF6D18"/>
    <w:rsid w:val="00CF73BC"/>
    <w:rsid w:val="00CF7CB9"/>
    <w:rsid w:val="00D00512"/>
    <w:rsid w:val="00D0083E"/>
    <w:rsid w:val="00D00EA1"/>
    <w:rsid w:val="00D014B1"/>
    <w:rsid w:val="00D044D1"/>
    <w:rsid w:val="00D054DD"/>
    <w:rsid w:val="00D05834"/>
    <w:rsid w:val="00D05A74"/>
    <w:rsid w:val="00D0600A"/>
    <w:rsid w:val="00D06DFB"/>
    <w:rsid w:val="00D07CBB"/>
    <w:rsid w:val="00D10554"/>
    <w:rsid w:val="00D11289"/>
    <w:rsid w:val="00D11374"/>
    <w:rsid w:val="00D11FDE"/>
    <w:rsid w:val="00D14CEE"/>
    <w:rsid w:val="00D15CD2"/>
    <w:rsid w:val="00D1693B"/>
    <w:rsid w:val="00D17623"/>
    <w:rsid w:val="00D2116D"/>
    <w:rsid w:val="00D21762"/>
    <w:rsid w:val="00D21B87"/>
    <w:rsid w:val="00D225CB"/>
    <w:rsid w:val="00D22800"/>
    <w:rsid w:val="00D26A43"/>
    <w:rsid w:val="00D273D7"/>
    <w:rsid w:val="00D27923"/>
    <w:rsid w:val="00D303D3"/>
    <w:rsid w:val="00D3083A"/>
    <w:rsid w:val="00D30C44"/>
    <w:rsid w:val="00D30E8C"/>
    <w:rsid w:val="00D31D19"/>
    <w:rsid w:val="00D33017"/>
    <w:rsid w:val="00D33276"/>
    <w:rsid w:val="00D33719"/>
    <w:rsid w:val="00D34D73"/>
    <w:rsid w:val="00D35072"/>
    <w:rsid w:val="00D35E78"/>
    <w:rsid w:val="00D361E0"/>
    <w:rsid w:val="00D37ECA"/>
    <w:rsid w:val="00D4063D"/>
    <w:rsid w:val="00D40DBF"/>
    <w:rsid w:val="00D41B41"/>
    <w:rsid w:val="00D4247A"/>
    <w:rsid w:val="00D42FBC"/>
    <w:rsid w:val="00D436E0"/>
    <w:rsid w:val="00D4390E"/>
    <w:rsid w:val="00D44D16"/>
    <w:rsid w:val="00D44F26"/>
    <w:rsid w:val="00D44FFD"/>
    <w:rsid w:val="00D47056"/>
    <w:rsid w:val="00D47914"/>
    <w:rsid w:val="00D47C1B"/>
    <w:rsid w:val="00D501D9"/>
    <w:rsid w:val="00D50899"/>
    <w:rsid w:val="00D51E51"/>
    <w:rsid w:val="00D523C5"/>
    <w:rsid w:val="00D52B01"/>
    <w:rsid w:val="00D52BC4"/>
    <w:rsid w:val="00D53050"/>
    <w:rsid w:val="00D54AD5"/>
    <w:rsid w:val="00D55F66"/>
    <w:rsid w:val="00D560C6"/>
    <w:rsid w:val="00D56962"/>
    <w:rsid w:val="00D57003"/>
    <w:rsid w:val="00D574FD"/>
    <w:rsid w:val="00D57CA8"/>
    <w:rsid w:val="00D609BF"/>
    <w:rsid w:val="00D62CEF"/>
    <w:rsid w:val="00D633A9"/>
    <w:rsid w:val="00D63657"/>
    <w:rsid w:val="00D63E6D"/>
    <w:rsid w:val="00D65985"/>
    <w:rsid w:val="00D70826"/>
    <w:rsid w:val="00D71784"/>
    <w:rsid w:val="00D7206E"/>
    <w:rsid w:val="00D73121"/>
    <w:rsid w:val="00D73733"/>
    <w:rsid w:val="00D73EB3"/>
    <w:rsid w:val="00D74608"/>
    <w:rsid w:val="00D75256"/>
    <w:rsid w:val="00D7541C"/>
    <w:rsid w:val="00D75920"/>
    <w:rsid w:val="00D76366"/>
    <w:rsid w:val="00D76761"/>
    <w:rsid w:val="00D76D3E"/>
    <w:rsid w:val="00D77739"/>
    <w:rsid w:val="00D777A5"/>
    <w:rsid w:val="00D77C94"/>
    <w:rsid w:val="00D77D10"/>
    <w:rsid w:val="00D77EA8"/>
    <w:rsid w:val="00D80D00"/>
    <w:rsid w:val="00D813C4"/>
    <w:rsid w:val="00D82489"/>
    <w:rsid w:val="00D82528"/>
    <w:rsid w:val="00D82919"/>
    <w:rsid w:val="00D82CEA"/>
    <w:rsid w:val="00D840A7"/>
    <w:rsid w:val="00D8441F"/>
    <w:rsid w:val="00D85AD0"/>
    <w:rsid w:val="00D85FBE"/>
    <w:rsid w:val="00D86440"/>
    <w:rsid w:val="00D873C9"/>
    <w:rsid w:val="00D87B63"/>
    <w:rsid w:val="00D916BD"/>
    <w:rsid w:val="00D929B8"/>
    <w:rsid w:val="00D9331B"/>
    <w:rsid w:val="00D93676"/>
    <w:rsid w:val="00D9422F"/>
    <w:rsid w:val="00D9520D"/>
    <w:rsid w:val="00D9587A"/>
    <w:rsid w:val="00D96AAB"/>
    <w:rsid w:val="00D96F54"/>
    <w:rsid w:val="00D96F5E"/>
    <w:rsid w:val="00D9773F"/>
    <w:rsid w:val="00D97E3A"/>
    <w:rsid w:val="00D97F32"/>
    <w:rsid w:val="00DA23BA"/>
    <w:rsid w:val="00DA28E9"/>
    <w:rsid w:val="00DA385A"/>
    <w:rsid w:val="00DA39A0"/>
    <w:rsid w:val="00DA612F"/>
    <w:rsid w:val="00DA6DF5"/>
    <w:rsid w:val="00DB0986"/>
    <w:rsid w:val="00DB1586"/>
    <w:rsid w:val="00DB1EFF"/>
    <w:rsid w:val="00DB2720"/>
    <w:rsid w:val="00DB3170"/>
    <w:rsid w:val="00DB3DE0"/>
    <w:rsid w:val="00DC0D60"/>
    <w:rsid w:val="00DC1876"/>
    <w:rsid w:val="00DC3C89"/>
    <w:rsid w:val="00DC45C3"/>
    <w:rsid w:val="00DC5ED0"/>
    <w:rsid w:val="00DC6E7C"/>
    <w:rsid w:val="00DC7E71"/>
    <w:rsid w:val="00DD0420"/>
    <w:rsid w:val="00DD082B"/>
    <w:rsid w:val="00DD260A"/>
    <w:rsid w:val="00DD6FA0"/>
    <w:rsid w:val="00DE09F8"/>
    <w:rsid w:val="00DE110B"/>
    <w:rsid w:val="00DE116B"/>
    <w:rsid w:val="00DE1DCF"/>
    <w:rsid w:val="00DE2C14"/>
    <w:rsid w:val="00DE364D"/>
    <w:rsid w:val="00DE3FE3"/>
    <w:rsid w:val="00DE4B48"/>
    <w:rsid w:val="00DE583F"/>
    <w:rsid w:val="00DE6067"/>
    <w:rsid w:val="00DE766F"/>
    <w:rsid w:val="00DF03E5"/>
    <w:rsid w:val="00DF43D9"/>
    <w:rsid w:val="00DF44D0"/>
    <w:rsid w:val="00DF5566"/>
    <w:rsid w:val="00DF70F9"/>
    <w:rsid w:val="00E00931"/>
    <w:rsid w:val="00E02C58"/>
    <w:rsid w:val="00E04A03"/>
    <w:rsid w:val="00E07CFF"/>
    <w:rsid w:val="00E112E7"/>
    <w:rsid w:val="00E11AD2"/>
    <w:rsid w:val="00E12093"/>
    <w:rsid w:val="00E127AC"/>
    <w:rsid w:val="00E128D6"/>
    <w:rsid w:val="00E1308A"/>
    <w:rsid w:val="00E14C02"/>
    <w:rsid w:val="00E1588F"/>
    <w:rsid w:val="00E1637D"/>
    <w:rsid w:val="00E17A58"/>
    <w:rsid w:val="00E17C76"/>
    <w:rsid w:val="00E200D4"/>
    <w:rsid w:val="00E20857"/>
    <w:rsid w:val="00E23A2B"/>
    <w:rsid w:val="00E23C54"/>
    <w:rsid w:val="00E26285"/>
    <w:rsid w:val="00E26B0F"/>
    <w:rsid w:val="00E26DF5"/>
    <w:rsid w:val="00E26FC7"/>
    <w:rsid w:val="00E2708C"/>
    <w:rsid w:val="00E329E2"/>
    <w:rsid w:val="00E33CD7"/>
    <w:rsid w:val="00E344B6"/>
    <w:rsid w:val="00E34967"/>
    <w:rsid w:val="00E3648B"/>
    <w:rsid w:val="00E40D09"/>
    <w:rsid w:val="00E433CE"/>
    <w:rsid w:val="00E44A33"/>
    <w:rsid w:val="00E44FAB"/>
    <w:rsid w:val="00E450B0"/>
    <w:rsid w:val="00E4693C"/>
    <w:rsid w:val="00E46E12"/>
    <w:rsid w:val="00E504F2"/>
    <w:rsid w:val="00E51317"/>
    <w:rsid w:val="00E5198A"/>
    <w:rsid w:val="00E51F57"/>
    <w:rsid w:val="00E5219F"/>
    <w:rsid w:val="00E52BC6"/>
    <w:rsid w:val="00E52D55"/>
    <w:rsid w:val="00E53326"/>
    <w:rsid w:val="00E53885"/>
    <w:rsid w:val="00E53A28"/>
    <w:rsid w:val="00E554FF"/>
    <w:rsid w:val="00E555F1"/>
    <w:rsid w:val="00E56238"/>
    <w:rsid w:val="00E565F6"/>
    <w:rsid w:val="00E57B47"/>
    <w:rsid w:val="00E601E0"/>
    <w:rsid w:val="00E61B43"/>
    <w:rsid w:val="00E61DF0"/>
    <w:rsid w:val="00E63547"/>
    <w:rsid w:val="00E668B8"/>
    <w:rsid w:val="00E675F9"/>
    <w:rsid w:val="00E677CC"/>
    <w:rsid w:val="00E678DC"/>
    <w:rsid w:val="00E70118"/>
    <w:rsid w:val="00E704B5"/>
    <w:rsid w:val="00E7198F"/>
    <w:rsid w:val="00E72AB5"/>
    <w:rsid w:val="00E738AA"/>
    <w:rsid w:val="00E74246"/>
    <w:rsid w:val="00E74763"/>
    <w:rsid w:val="00E766DD"/>
    <w:rsid w:val="00E7759C"/>
    <w:rsid w:val="00E77958"/>
    <w:rsid w:val="00E804BD"/>
    <w:rsid w:val="00E810C8"/>
    <w:rsid w:val="00E81A55"/>
    <w:rsid w:val="00E826ED"/>
    <w:rsid w:val="00E83A3C"/>
    <w:rsid w:val="00E84C90"/>
    <w:rsid w:val="00E85564"/>
    <w:rsid w:val="00E85CBA"/>
    <w:rsid w:val="00E86F75"/>
    <w:rsid w:val="00E87A04"/>
    <w:rsid w:val="00E903E9"/>
    <w:rsid w:val="00E9042E"/>
    <w:rsid w:val="00E9082A"/>
    <w:rsid w:val="00E90E2E"/>
    <w:rsid w:val="00E912A4"/>
    <w:rsid w:val="00E916AD"/>
    <w:rsid w:val="00E928CA"/>
    <w:rsid w:val="00E9484C"/>
    <w:rsid w:val="00E94BAB"/>
    <w:rsid w:val="00E9607F"/>
    <w:rsid w:val="00EA015C"/>
    <w:rsid w:val="00EA24FB"/>
    <w:rsid w:val="00EA2FBA"/>
    <w:rsid w:val="00EA31E4"/>
    <w:rsid w:val="00EA3209"/>
    <w:rsid w:val="00EA332A"/>
    <w:rsid w:val="00EA37E0"/>
    <w:rsid w:val="00EA4812"/>
    <w:rsid w:val="00EA5A77"/>
    <w:rsid w:val="00EA5E7D"/>
    <w:rsid w:val="00EA67C6"/>
    <w:rsid w:val="00EA75A1"/>
    <w:rsid w:val="00EA7887"/>
    <w:rsid w:val="00EB0E22"/>
    <w:rsid w:val="00EB127B"/>
    <w:rsid w:val="00EB1957"/>
    <w:rsid w:val="00EB2A88"/>
    <w:rsid w:val="00EB4C85"/>
    <w:rsid w:val="00EB58B3"/>
    <w:rsid w:val="00EB78AE"/>
    <w:rsid w:val="00EC119D"/>
    <w:rsid w:val="00EC145E"/>
    <w:rsid w:val="00EC23AE"/>
    <w:rsid w:val="00EC348F"/>
    <w:rsid w:val="00EC376D"/>
    <w:rsid w:val="00EC3968"/>
    <w:rsid w:val="00EC3D01"/>
    <w:rsid w:val="00EC59F3"/>
    <w:rsid w:val="00EC5A70"/>
    <w:rsid w:val="00EC656B"/>
    <w:rsid w:val="00ED16C8"/>
    <w:rsid w:val="00ED18E4"/>
    <w:rsid w:val="00ED1AE1"/>
    <w:rsid w:val="00ED1BA0"/>
    <w:rsid w:val="00ED200D"/>
    <w:rsid w:val="00ED274D"/>
    <w:rsid w:val="00ED39E5"/>
    <w:rsid w:val="00ED4CA5"/>
    <w:rsid w:val="00ED53E3"/>
    <w:rsid w:val="00ED6AAB"/>
    <w:rsid w:val="00ED7163"/>
    <w:rsid w:val="00ED78F4"/>
    <w:rsid w:val="00ED7A27"/>
    <w:rsid w:val="00EE0E03"/>
    <w:rsid w:val="00EE5265"/>
    <w:rsid w:val="00EE5969"/>
    <w:rsid w:val="00EE5AA2"/>
    <w:rsid w:val="00EE6345"/>
    <w:rsid w:val="00EF16CA"/>
    <w:rsid w:val="00EF18DB"/>
    <w:rsid w:val="00EF1C16"/>
    <w:rsid w:val="00EF329C"/>
    <w:rsid w:val="00EF3A68"/>
    <w:rsid w:val="00EF4377"/>
    <w:rsid w:val="00EF47AF"/>
    <w:rsid w:val="00EF4FA1"/>
    <w:rsid w:val="00EF61B3"/>
    <w:rsid w:val="00EF6732"/>
    <w:rsid w:val="00F000CE"/>
    <w:rsid w:val="00F005F8"/>
    <w:rsid w:val="00F03CBE"/>
    <w:rsid w:val="00F0401F"/>
    <w:rsid w:val="00F04567"/>
    <w:rsid w:val="00F04A5A"/>
    <w:rsid w:val="00F07042"/>
    <w:rsid w:val="00F07EDC"/>
    <w:rsid w:val="00F11499"/>
    <w:rsid w:val="00F11F19"/>
    <w:rsid w:val="00F13717"/>
    <w:rsid w:val="00F1425F"/>
    <w:rsid w:val="00F14655"/>
    <w:rsid w:val="00F15947"/>
    <w:rsid w:val="00F20AEE"/>
    <w:rsid w:val="00F20D6F"/>
    <w:rsid w:val="00F21484"/>
    <w:rsid w:val="00F216C3"/>
    <w:rsid w:val="00F2271A"/>
    <w:rsid w:val="00F23AA7"/>
    <w:rsid w:val="00F25D85"/>
    <w:rsid w:val="00F26E4C"/>
    <w:rsid w:val="00F344BC"/>
    <w:rsid w:val="00F34998"/>
    <w:rsid w:val="00F4045C"/>
    <w:rsid w:val="00F41793"/>
    <w:rsid w:val="00F430E4"/>
    <w:rsid w:val="00F46073"/>
    <w:rsid w:val="00F504B6"/>
    <w:rsid w:val="00F52F7A"/>
    <w:rsid w:val="00F5539C"/>
    <w:rsid w:val="00F556D5"/>
    <w:rsid w:val="00F55982"/>
    <w:rsid w:val="00F55DEB"/>
    <w:rsid w:val="00F5602B"/>
    <w:rsid w:val="00F56119"/>
    <w:rsid w:val="00F5616A"/>
    <w:rsid w:val="00F5770C"/>
    <w:rsid w:val="00F57825"/>
    <w:rsid w:val="00F57E72"/>
    <w:rsid w:val="00F60262"/>
    <w:rsid w:val="00F603EB"/>
    <w:rsid w:val="00F60A5B"/>
    <w:rsid w:val="00F60B85"/>
    <w:rsid w:val="00F61547"/>
    <w:rsid w:val="00F62F74"/>
    <w:rsid w:val="00F62FC1"/>
    <w:rsid w:val="00F667B4"/>
    <w:rsid w:val="00F70525"/>
    <w:rsid w:val="00F71518"/>
    <w:rsid w:val="00F7271A"/>
    <w:rsid w:val="00F748F1"/>
    <w:rsid w:val="00F75315"/>
    <w:rsid w:val="00F75D2D"/>
    <w:rsid w:val="00F7668A"/>
    <w:rsid w:val="00F77846"/>
    <w:rsid w:val="00F8032C"/>
    <w:rsid w:val="00F832A6"/>
    <w:rsid w:val="00F83336"/>
    <w:rsid w:val="00F83FE4"/>
    <w:rsid w:val="00F84C73"/>
    <w:rsid w:val="00F84FE6"/>
    <w:rsid w:val="00F850EF"/>
    <w:rsid w:val="00F86BBE"/>
    <w:rsid w:val="00F86F43"/>
    <w:rsid w:val="00F870B4"/>
    <w:rsid w:val="00F91466"/>
    <w:rsid w:val="00F92039"/>
    <w:rsid w:val="00F935C8"/>
    <w:rsid w:val="00F93977"/>
    <w:rsid w:val="00F93B60"/>
    <w:rsid w:val="00F941FA"/>
    <w:rsid w:val="00F94FDC"/>
    <w:rsid w:val="00F97328"/>
    <w:rsid w:val="00F97C7D"/>
    <w:rsid w:val="00FA003B"/>
    <w:rsid w:val="00FA041C"/>
    <w:rsid w:val="00FA0AC0"/>
    <w:rsid w:val="00FA144B"/>
    <w:rsid w:val="00FA1C18"/>
    <w:rsid w:val="00FA233E"/>
    <w:rsid w:val="00FA3AB5"/>
    <w:rsid w:val="00FA4421"/>
    <w:rsid w:val="00FA457D"/>
    <w:rsid w:val="00FA4B15"/>
    <w:rsid w:val="00FA4DB3"/>
    <w:rsid w:val="00FA5AC7"/>
    <w:rsid w:val="00FA68C7"/>
    <w:rsid w:val="00FB1864"/>
    <w:rsid w:val="00FB1885"/>
    <w:rsid w:val="00FB7319"/>
    <w:rsid w:val="00FC000D"/>
    <w:rsid w:val="00FC0707"/>
    <w:rsid w:val="00FC1267"/>
    <w:rsid w:val="00FC2188"/>
    <w:rsid w:val="00FC2B2C"/>
    <w:rsid w:val="00FC2CC8"/>
    <w:rsid w:val="00FC4876"/>
    <w:rsid w:val="00FC6A57"/>
    <w:rsid w:val="00FD1519"/>
    <w:rsid w:val="00FD202A"/>
    <w:rsid w:val="00FD325B"/>
    <w:rsid w:val="00FD4AF1"/>
    <w:rsid w:val="00FD4C2D"/>
    <w:rsid w:val="00FD6EE4"/>
    <w:rsid w:val="00FD7046"/>
    <w:rsid w:val="00FD7C02"/>
    <w:rsid w:val="00FE17D4"/>
    <w:rsid w:val="00FE1E0D"/>
    <w:rsid w:val="00FE21CB"/>
    <w:rsid w:val="00FE2DA7"/>
    <w:rsid w:val="00FE2FD1"/>
    <w:rsid w:val="00FE3183"/>
    <w:rsid w:val="00FE360C"/>
    <w:rsid w:val="00FE50AB"/>
    <w:rsid w:val="00FE5D5D"/>
    <w:rsid w:val="00FE6E4D"/>
    <w:rsid w:val="00FE7110"/>
    <w:rsid w:val="00FE7FA0"/>
    <w:rsid w:val="00FF005B"/>
    <w:rsid w:val="00FF0709"/>
    <w:rsid w:val="00FF0D77"/>
    <w:rsid w:val="00FF0FEE"/>
    <w:rsid w:val="00FF4C39"/>
    <w:rsid w:val="00FF5709"/>
    <w:rsid w:val="00FF5B24"/>
    <w:rsid w:val="00FF6F67"/>
    <w:rsid w:val="00FF7337"/>
    <w:rsid w:val="03665E9C"/>
    <w:rsid w:val="04A1DE55"/>
    <w:rsid w:val="1BE6F9DD"/>
    <w:rsid w:val="1D02F875"/>
    <w:rsid w:val="219DAEB1"/>
    <w:rsid w:val="2A45FD53"/>
    <w:rsid w:val="2F0077D8"/>
    <w:rsid w:val="392DDB35"/>
    <w:rsid w:val="3A100845"/>
    <w:rsid w:val="3E76286A"/>
    <w:rsid w:val="3F57EC04"/>
    <w:rsid w:val="414EB483"/>
    <w:rsid w:val="428F8CC6"/>
    <w:rsid w:val="43994FED"/>
    <w:rsid w:val="507FEE90"/>
    <w:rsid w:val="53FACAD4"/>
    <w:rsid w:val="63F852BE"/>
    <w:rsid w:val="6A22A20F"/>
    <w:rsid w:val="7218AFDF"/>
    <w:rsid w:val="72E25A5C"/>
    <w:rsid w:val="75ACE000"/>
  </w:rsids>
  <m:mathPr>
    <m:mathFont m:val="Cambria Math"/>
    <m:brkBin m:val="before"/>
    <m:brkBinSub m:val="--"/>
    <m:smallFrac/>
    <m:dispDef/>
    <m:lMargin m:val="0"/>
    <m:rMargin m:val="0"/>
    <m:defJc m:val="centerGroup"/>
    <m:wrapRight/>
    <m:intLim m:val="subSup"/>
    <m:naryLim m:val="subSup"/>
  </m:mathPr>
  <w:themeFontLang w:val="es-E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F4F7025"/>
  <w15:docId w15:val="{0A7A33C0-9326-493B-8675-8CDC159B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1E7"/>
    <w:pPr>
      <w:spacing w:after="160" w:line="260" w:lineRule="exact"/>
      <w:jc w:val="both"/>
    </w:pPr>
    <w:rPr>
      <w:rFonts w:ascii="Calibri" w:hAnsi="Calibri" w:cs="Verdana"/>
      <w:color w:val="334350"/>
      <w:spacing w:val="-6"/>
      <w:lang w:val="es-ES_tradnl" w:eastAsia="es-ES"/>
    </w:rPr>
  </w:style>
  <w:style w:type="paragraph" w:styleId="Nagwek1">
    <w:name w:val="heading 1"/>
    <w:basedOn w:val="Normalny"/>
    <w:next w:val="Normalny"/>
    <w:link w:val="Nagwek1Znak"/>
    <w:uiPriority w:val="9"/>
    <w:qFormat/>
    <w:rsid w:val="00A143A2"/>
    <w:pPr>
      <w:keepNext/>
      <w:keepLines/>
      <w:spacing w:after="0" w:line="360" w:lineRule="exact"/>
      <w:jc w:val="left"/>
      <w:outlineLvl w:val="0"/>
    </w:pPr>
    <w:rPr>
      <w:rFonts w:ascii="Verdana" w:eastAsia="MS Gothic" w:hAnsi="Verdana" w:cs="Times New Roman"/>
      <w:b/>
      <w:bCs/>
      <w:color w:val="003652"/>
      <w:sz w:val="28"/>
      <w:szCs w:val="28"/>
    </w:rPr>
  </w:style>
  <w:style w:type="paragraph" w:styleId="Nagwek2">
    <w:name w:val="heading 2"/>
    <w:basedOn w:val="Normalny"/>
    <w:next w:val="Normalny"/>
    <w:link w:val="Nagwek2Znak"/>
    <w:uiPriority w:val="9"/>
    <w:qFormat/>
    <w:rsid w:val="00A143A2"/>
    <w:pPr>
      <w:keepNext/>
      <w:keepLines/>
      <w:outlineLvl w:val="1"/>
    </w:pPr>
    <w:rPr>
      <w:rFonts w:ascii="Verdana" w:eastAsia="MS Gothic" w:hAnsi="Verdana" w:cs="Times New Roman"/>
      <w:bCs/>
      <w:color w:val="003652"/>
    </w:rPr>
  </w:style>
  <w:style w:type="paragraph" w:styleId="Nagwek3">
    <w:name w:val="heading 3"/>
    <w:basedOn w:val="Normalny"/>
    <w:next w:val="Normalny"/>
    <w:link w:val="Nagwek3Znak"/>
    <w:uiPriority w:val="9"/>
    <w:qFormat/>
    <w:rsid w:val="00B33616"/>
    <w:pPr>
      <w:keepNext/>
      <w:keepLines/>
      <w:spacing w:before="200" w:after="0"/>
      <w:outlineLvl w:val="2"/>
    </w:pPr>
    <w:rPr>
      <w:rFonts w:eastAsia="MS Gothic" w:cs="Times New Roman"/>
      <w:b/>
      <w:bCs/>
      <w:color w:val="4F81BD"/>
    </w:rPr>
  </w:style>
  <w:style w:type="paragraph" w:styleId="Nagwek4">
    <w:name w:val="heading 4"/>
    <w:basedOn w:val="Normalny"/>
    <w:next w:val="Normalny"/>
    <w:link w:val="Nagwek4Znak"/>
    <w:uiPriority w:val="9"/>
    <w:qFormat/>
    <w:rsid w:val="00594084"/>
    <w:pPr>
      <w:keepNext/>
      <w:keepLines/>
      <w:spacing w:before="200" w:after="0"/>
      <w:outlineLvl w:val="3"/>
    </w:pPr>
    <w:rPr>
      <w:rFonts w:eastAsia="MS Gothic" w:cs="Times New Roman"/>
      <w:b/>
      <w:bCs/>
      <w:i/>
      <w:iCs/>
      <w:color w:val="4F81BD"/>
    </w:rPr>
  </w:style>
  <w:style w:type="paragraph" w:styleId="Nagwek5">
    <w:name w:val="heading 5"/>
    <w:basedOn w:val="Normalny"/>
    <w:next w:val="Normalny"/>
    <w:link w:val="Nagwek5Znak"/>
    <w:uiPriority w:val="9"/>
    <w:qFormat/>
    <w:rsid w:val="00594084"/>
    <w:pPr>
      <w:keepNext/>
      <w:keepLines/>
      <w:spacing w:before="200" w:after="0"/>
      <w:outlineLvl w:val="4"/>
    </w:pPr>
    <w:rPr>
      <w:rFonts w:eastAsia="MS Gothic" w:cs="Times New Roman"/>
      <w:color w:val="243F60"/>
    </w:rPr>
  </w:style>
  <w:style w:type="paragraph" w:styleId="Nagwek6">
    <w:name w:val="heading 6"/>
    <w:basedOn w:val="Normalny"/>
    <w:next w:val="Normalny"/>
    <w:link w:val="Nagwek6Znak"/>
    <w:uiPriority w:val="9"/>
    <w:qFormat/>
    <w:rsid w:val="00A6461F"/>
    <w:pPr>
      <w:keepNext/>
      <w:keepLines/>
      <w:spacing w:before="200" w:after="0"/>
      <w:outlineLvl w:val="5"/>
    </w:pPr>
    <w:rPr>
      <w:rFonts w:eastAsia="MS Gothic" w:cs="Times New Roman"/>
      <w:i/>
      <w:iCs/>
      <w:color w:val="243F60"/>
    </w:rPr>
  </w:style>
  <w:style w:type="paragraph" w:styleId="Nagwek7">
    <w:name w:val="heading 7"/>
    <w:basedOn w:val="Normalny"/>
    <w:next w:val="Normalny"/>
    <w:link w:val="Nagwek7Znak"/>
    <w:uiPriority w:val="9"/>
    <w:qFormat/>
    <w:rsid w:val="00A6461F"/>
    <w:pPr>
      <w:keepNext/>
      <w:keepLines/>
      <w:spacing w:before="200" w:after="0"/>
      <w:outlineLvl w:val="6"/>
    </w:pPr>
    <w:rPr>
      <w:rFonts w:eastAsia="MS Gothic" w:cs="Times New Roman"/>
      <w:i/>
      <w:iCs/>
      <w:color w:val="404040"/>
    </w:rPr>
  </w:style>
  <w:style w:type="paragraph" w:styleId="Nagwek8">
    <w:name w:val="heading 8"/>
    <w:basedOn w:val="Normalny"/>
    <w:next w:val="Normalny"/>
    <w:link w:val="Nagwek8Znak"/>
    <w:uiPriority w:val="9"/>
    <w:qFormat/>
    <w:rsid w:val="00375199"/>
    <w:pPr>
      <w:keepNext/>
      <w:keepLines/>
      <w:spacing w:before="200" w:after="0"/>
      <w:outlineLvl w:val="7"/>
    </w:pPr>
    <w:rPr>
      <w:rFonts w:eastAsia="MS Gothic" w:cs="Times New Roman"/>
      <w:color w:val="003652"/>
    </w:rPr>
  </w:style>
  <w:style w:type="paragraph" w:styleId="Nagwek9">
    <w:name w:val="heading 9"/>
    <w:aliases w:val="Comunicacion"/>
    <w:basedOn w:val="Normalny"/>
    <w:next w:val="Normalny"/>
    <w:link w:val="Nagwek9Znak"/>
    <w:uiPriority w:val="9"/>
    <w:qFormat/>
    <w:rsid w:val="007C0000"/>
    <w:pPr>
      <w:keepNext/>
      <w:keepLines/>
      <w:framePr w:hSpace="141" w:wrap="around" w:vAnchor="page" w:hAnchor="text" w:y="8730"/>
      <w:spacing w:after="0" w:line="200" w:lineRule="exact"/>
      <w:jc w:val="left"/>
      <w:outlineLvl w:val="8"/>
    </w:pPr>
    <w:rPr>
      <w:rFonts w:ascii="Verdana" w:eastAsia="MS Gothic" w:hAnsi="Verdana" w:cs="Times New Roman"/>
      <w:color w:val="5A6E74"/>
      <w:spacing w:val="0"/>
      <w:sz w:val="14"/>
      <w:szCs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65E6"/>
    <w:pPr>
      <w:tabs>
        <w:tab w:val="center" w:pos="4252"/>
        <w:tab w:val="right" w:pos="8504"/>
      </w:tabs>
    </w:pPr>
  </w:style>
  <w:style w:type="character" w:customStyle="1" w:styleId="NagwekZnak">
    <w:name w:val="Nagłówek Znak"/>
    <w:basedOn w:val="Domylnaczcionkaakapitu"/>
    <w:link w:val="Nagwek"/>
    <w:uiPriority w:val="99"/>
    <w:rsid w:val="007165E6"/>
  </w:style>
  <w:style w:type="paragraph" w:styleId="Stopka">
    <w:name w:val="footer"/>
    <w:basedOn w:val="Normalny"/>
    <w:link w:val="StopkaZnak"/>
    <w:uiPriority w:val="99"/>
    <w:unhideWhenUsed/>
    <w:rsid w:val="007165E6"/>
    <w:pPr>
      <w:tabs>
        <w:tab w:val="center" w:pos="4252"/>
        <w:tab w:val="right" w:pos="8504"/>
      </w:tabs>
    </w:pPr>
  </w:style>
  <w:style w:type="character" w:customStyle="1" w:styleId="StopkaZnak">
    <w:name w:val="Stopka Znak"/>
    <w:basedOn w:val="Domylnaczcionkaakapitu"/>
    <w:link w:val="Stopka"/>
    <w:uiPriority w:val="99"/>
    <w:rsid w:val="007165E6"/>
  </w:style>
  <w:style w:type="paragraph" w:styleId="Tekstdymka">
    <w:name w:val="Balloon Text"/>
    <w:basedOn w:val="Normalny"/>
    <w:link w:val="TekstdymkaZnak"/>
    <w:uiPriority w:val="99"/>
    <w:semiHidden/>
    <w:unhideWhenUsed/>
    <w:rsid w:val="007165E6"/>
    <w:rPr>
      <w:rFonts w:ascii="Lucida Grande" w:hAnsi="Lucida Grande" w:cs="Times New Roman"/>
      <w:color w:val="auto"/>
      <w:spacing w:val="0"/>
      <w:sz w:val="18"/>
      <w:szCs w:val="18"/>
    </w:rPr>
  </w:style>
  <w:style w:type="character" w:customStyle="1" w:styleId="TekstdymkaZnak">
    <w:name w:val="Tekst dymka Znak"/>
    <w:link w:val="Tekstdymka"/>
    <w:uiPriority w:val="99"/>
    <w:semiHidden/>
    <w:rsid w:val="007165E6"/>
    <w:rPr>
      <w:rFonts w:ascii="Lucida Grande" w:hAnsi="Lucida Grande" w:cs="Lucida Grande"/>
      <w:sz w:val="18"/>
      <w:szCs w:val="18"/>
    </w:rPr>
  </w:style>
  <w:style w:type="character" w:styleId="Numerstrony">
    <w:name w:val="page number"/>
    <w:basedOn w:val="Domylnaczcionkaakapitu"/>
    <w:semiHidden/>
    <w:unhideWhenUsed/>
    <w:rsid w:val="00043D5E"/>
  </w:style>
  <w:style w:type="character" w:styleId="Hipercze">
    <w:name w:val="Hyperlink"/>
    <w:uiPriority w:val="99"/>
    <w:unhideWhenUsed/>
    <w:rsid w:val="00043D5E"/>
    <w:rPr>
      <w:color w:val="0000FF"/>
      <w:u w:val="single"/>
    </w:rPr>
  </w:style>
  <w:style w:type="paragraph" w:customStyle="1" w:styleId="TitularsCursiva18pt">
    <w:name w:val="Titulars_Cursiva_18pt"/>
    <w:basedOn w:val="Normalny"/>
    <w:uiPriority w:val="99"/>
    <w:rsid w:val="00302334"/>
    <w:pPr>
      <w:widowControl w:val="0"/>
      <w:autoSpaceDE w:val="0"/>
      <w:autoSpaceDN w:val="0"/>
      <w:adjustRightInd w:val="0"/>
      <w:spacing w:line="288" w:lineRule="auto"/>
      <w:textAlignment w:val="center"/>
    </w:pPr>
    <w:rPr>
      <w:rFonts w:ascii="Bliss-LightItalic" w:eastAsia="Cambria" w:hAnsi="Bliss-LightItalic" w:cs="Bliss-LightItalic"/>
      <w:i/>
      <w:iCs/>
      <w:color w:val="FFFFFF"/>
      <w:sz w:val="36"/>
      <w:szCs w:val="36"/>
      <w:lang w:eastAsia="en-US"/>
    </w:rPr>
  </w:style>
  <w:style w:type="paragraph" w:customStyle="1" w:styleId="Prrafobsico">
    <w:name w:val="[Párrafo básico]"/>
    <w:basedOn w:val="Normalny"/>
    <w:uiPriority w:val="99"/>
    <w:rsid w:val="00302334"/>
    <w:pPr>
      <w:widowControl w:val="0"/>
      <w:autoSpaceDE w:val="0"/>
      <w:autoSpaceDN w:val="0"/>
      <w:adjustRightInd w:val="0"/>
      <w:spacing w:line="288" w:lineRule="auto"/>
      <w:textAlignment w:val="center"/>
    </w:pPr>
    <w:rPr>
      <w:rFonts w:ascii="Times-Roman" w:eastAsia="Cambria" w:hAnsi="Times-Roman" w:cs="Times-Roman"/>
      <w:color w:val="000000"/>
      <w:lang w:eastAsia="en-US"/>
    </w:rPr>
  </w:style>
  <w:style w:type="paragraph" w:customStyle="1" w:styleId="Cuadrculamedia1-nfasis21">
    <w:name w:val="Cuadrícula media 1 - Énfasis 21"/>
    <w:basedOn w:val="Normalny"/>
    <w:qFormat/>
    <w:rsid w:val="007A2CD0"/>
    <w:pPr>
      <w:numPr>
        <w:numId w:val="1"/>
      </w:numPr>
      <w:spacing w:after="40"/>
    </w:pPr>
    <w:rPr>
      <w:spacing w:val="-8"/>
    </w:rPr>
  </w:style>
  <w:style w:type="character" w:customStyle="1" w:styleId="Nagwek2Znak">
    <w:name w:val="Nagłówek 2 Znak"/>
    <w:link w:val="Nagwek2"/>
    <w:uiPriority w:val="9"/>
    <w:rsid w:val="00A143A2"/>
    <w:rPr>
      <w:rFonts w:ascii="Verdana" w:eastAsia="MS Gothic" w:hAnsi="Verdana" w:cs="Times New Roman"/>
      <w:bCs/>
      <w:color w:val="003652"/>
      <w:spacing w:val="-6"/>
    </w:rPr>
  </w:style>
  <w:style w:type="paragraph" w:customStyle="1" w:styleId="webcabecera">
    <w:name w:val="web cabecera"/>
    <w:basedOn w:val="Normalny"/>
    <w:qFormat/>
    <w:rsid w:val="00A143A2"/>
    <w:pPr>
      <w:jc w:val="right"/>
    </w:pPr>
    <w:rPr>
      <w:i/>
      <w:color w:val="003652"/>
      <w:sz w:val="18"/>
      <w:szCs w:val="18"/>
    </w:rPr>
  </w:style>
  <w:style w:type="character" w:customStyle="1" w:styleId="Nagwek1Znak">
    <w:name w:val="Nagłówek 1 Znak"/>
    <w:link w:val="Nagwek1"/>
    <w:uiPriority w:val="9"/>
    <w:rsid w:val="00A143A2"/>
    <w:rPr>
      <w:rFonts w:ascii="Verdana" w:eastAsia="MS Gothic" w:hAnsi="Verdana" w:cs="Times New Roman"/>
      <w:b/>
      <w:bCs/>
      <w:color w:val="003652"/>
      <w:spacing w:val="-6"/>
      <w:sz w:val="28"/>
      <w:szCs w:val="28"/>
    </w:rPr>
  </w:style>
  <w:style w:type="paragraph" w:styleId="Podtytu">
    <w:name w:val="Subtitle"/>
    <w:basedOn w:val="Normalny"/>
    <w:next w:val="Normalny"/>
    <w:link w:val="PodtytuZnak"/>
    <w:uiPriority w:val="11"/>
    <w:qFormat/>
    <w:rsid w:val="00B33616"/>
    <w:pPr>
      <w:jc w:val="left"/>
    </w:pPr>
    <w:rPr>
      <w:rFonts w:ascii="Verdana" w:hAnsi="Verdana" w:cs="Times New Roman"/>
      <w:bCs/>
      <w:color w:val="5A6E74"/>
    </w:rPr>
  </w:style>
  <w:style w:type="character" w:customStyle="1" w:styleId="PodtytuZnak">
    <w:name w:val="Podtytuł Znak"/>
    <w:link w:val="Podtytu"/>
    <w:uiPriority w:val="11"/>
    <w:rsid w:val="00B33616"/>
    <w:rPr>
      <w:rFonts w:ascii="Verdana" w:hAnsi="Verdana" w:cs="Verdana-Bold"/>
      <w:bCs/>
      <w:color w:val="5A6E74"/>
      <w:spacing w:val="-6"/>
      <w:sz w:val="20"/>
      <w:szCs w:val="20"/>
    </w:rPr>
  </w:style>
  <w:style w:type="character" w:customStyle="1" w:styleId="Nagwek3Znak">
    <w:name w:val="Nagłówek 3 Znak"/>
    <w:link w:val="Nagwek3"/>
    <w:uiPriority w:val="9"/>
    <w:rsid w:val="00B33616"/>
    <w:rPr>
      <w:rFonts w:ascii="Calibri" w:eastAsia="MS Gothic" w:hAnsi="Calibri" w:cs="Times New Roman"/>
      <w:b/>
      <w:bCs/>
      <w:color w:val="4F81BD"/>
      <w:spacing w:val="-6"/>
      <w:sz w:val="20"/>
      <w:szCs w:val="20"/>
    </w:rPr>
  </w:style>
  <w:style w:type="table" w:styleId="Tabela-Siatka">
    <w:name w:val="Table Grid"/>
    <w:basedOn w:val="Standardowy"/>
    <w:uiPriority w:val="59"/>
    <w:rsid w:val="00B33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594084"/>
    <w:rPr>
      <w:i/>
      <w:iCs/>
    </w:rPr>
  </w:style>
  <w:style w:type="character" w:customStyle="1" w:styleId="Nagwek4Znak">
    <w:name w:val="Nagłówek 4 Znak"/>
    <w:link w:val="Nagwek4"/>
    <w:uiPriority w:val="9"/>
    <w:rsid w:val="00594084"/>
    <w:rPr>
      <w:rFonts w:ascii="Calibri" w:eastAsia="MS Gothic" w:hAnsi="Calibri" w:cs="Times New Roman"/>
      <w:b/>
      <w:bCs/>
      <w:i/>
      <w:iCs/>
      <w:color w:val="4F81BD"/>
      <w:spacing w:val="-6"/>
      <w:sz w:val="20"/>
      <w:szCs w:val="20"/>
    </w:rPr>
  </w:style>
  <w:style w:type="character" w:customStyle="1" w:styleId="Nagwek5Znak">
    <w:name w:val="Nagłówek 5 Znak"/>
    <w:link w:val="Nagwek5"/>
    <w:uiPriority w:val="9"/>
    <w:rsid w:val="00594084"/>
    <w:rPr>
      <w:rFonts w:ascii="Calibri" w:eastAsia="MS Gothic" w:hAnsi="Calibri" w:cs="Times New Roman"/>
      <w:color w:val="243F60"/>
      <w:spacing w:val="-6"/>
      <w:sz w:val="20"/>
      <w:szCs w:val="20"/>
    </w:rPr>
  </w:style>
  <w:style w:type="character" w:customStyle="1" w:styleId="Nagwek6Znak">
    <w:name w:val="Nagłówek 6 Znak"/>
    <w:link w:val="Nagwek6"/>
    <w:uiPriority w:val="9"/>
    <w:rsid w:val="00A6461F"/>
    <w:rPr>
      <w:rFonts w:ascii="Calibri" w:eastAsia="MS Gothic" w:hAnsi="Calibri" w:cs="Times New Roman"/>
      <w:i/>
      <w:iCs/>
      <w:color w:val="243F60"/>
      <w:spacing w:val="-6"/>
      <w:sz w:val="20"/>
      <w:szCs w:val="20"/>
    </w:rPr>
  </w:style>
  <w:style w:type="character" w:customStyle="1" w:styleId="Nagwek7Znak">
    <w:name w:val="Nagłówek 7 Znak"/>
    <w:link w:val="Nagwek7"/>
    <w:uiPriority w:val="9"/>
    <w:rsid w:val="00A6461F"/>
    <w:rPr>
      <w:rFonts w:ascii="Calibri" w:eastAsia="MS Gothic" w:hAnsi="Calibri" w:cs="Times New Roman"/>
      <w:i/>
      <w:iCs/>
      <w:color w:val="404040"/>
      <w:spacing w:val="-6"/>
      <w:sz w:val="20"/>
      <w:szCs w:val="20"/>
    </w:rPr>
  </w:style>
  <w:style w:type="character" w:customStyle="1" w:styleId="Nagwek8Znak">
    <w:name w:val="Nagłówek 8 Znak"/>
    <w:link w:val="Nagwek8"/>
    <w:uiPriority w:val="9"/>
    <w:rsid w:val="00375199"/>
    <w:rPr>
      <w:rFonts w:ascii="Calibri" w:eastAsia="MS Gothic" w:hAnsi="Calibri" w:cs="Times New Roman"/>
      <w:color w:val="003652"/>
      <w:spacing w:val="-6"/>
      <w:sz w:val="20"/>
      <w:szCs w:val="20"/>
    </w:rPr>
  </w:style>
  <w:style w:type="character" w:customStyle="1" w:styleId="Nagwek9Znak">
    <w:name w:val="Nagłówek 9 Znak"/>
    <w:aliases w:val="Comunicacion Znak"/>
    <w:link w:val="Nagwek9"/>
    <w:uiPriority w:val="9"/>
    <w:rsid w:val="007C0000"/>
    <w:rPr>
      <w:rFonts w:ascii="Verdana" w:eastAsia="MS Gothic" w:hAnsi="Verdana" w:cs="Times New Roman"/>
      <w:color w:val="5A6E74"/>
      <w:sz w:val="14"/>
      <w:szCs w:val="14"/>
    </w:rPr>
  </w:style>
  <w:style w:type="character" w:customStyle="1" w:styleId="Tablanormal31">
    <w:name w:val="Tabla normal 31"/>
    <w:uiPriority w:val="19"/>
    <w:qFormat/>
    <w:rsid w:val="00A6461F"/>
    <w:rPr>
      <w:i/>
      <w:iCs/>
      <w:color w:val="808080"/>
    </w:rPr>
  </w:style>
  <w:style w:type="paragraph" w:customStyle="1" w:styleId="Cuadrculamedia2-nfasis21">
    <w:name w:val="Cuadrícula media 2 - Énfasis 21"/>
    <w:basedOn w:val="Normalny"/>
    <w:next w:val="Normalny"/>
    <w:link w:val="Cuadrculamedia2-nfasis2Car"/>
    <w:uiPriority w:val="29"/>
    <w:qFormat/>
    <w:rsid w:val="00A6461F"/>
    <w:rPr>
      <w:rFonts w:ascii="Verdana" w:hAnsi="Verdana" w:cs="Times New Roman"/>
      <w:i/>
      <w:iCs/>
      <w:color w:val="000000"/>
    </w:rPr>
  </w:style>
  <w:style w:type="character" w:customStyle="1" w:styleId="Cuadrculamedia2-nfasis2Car">
    <w:name w:val="Cuadrícula media 2 - Énfasis 2 Car"/>
    <w:link w:val="Cuadrculamedia2-nfasis21"/>
    <w:uiPriority w:val="29"/>
    <w:rsid w:val="00A6461F"/>
    <w:rPr>
      <w:rFonts w:ascii="Verdana" w:hAnsi="Verdana" w:cs="Verdana"/>
      <w:i/>
      <w:iCs/>
      <w:color w:val="000000"/>
      <w:spacing w:val="-6"/>
      <w:sz w:val="20"/>
      <w:szCs w:val="20"/>
    </w:rPr>
  </w:style>
  <w:style w:type="character" w:styleId="Pogrubienie">
    <w:name w:val="Strong"/>
    <w:uiPriority w:val="22"/>
    <w:qFormat/>
    <w:rsid w:val="00A6461F"/>
    <w:rPr>
      <w:b/>
      <w:bCs/>
    </w:rPr>
  </w:style>
  <w:style w:type="character" w:styleId="UyteHipercze">
    <w:name w:val="FollowedHyperlink"/>
    <w:uiPriority w:val="99"/>
    <w:semiHidden/>
    <w:unhideWhenUsed/>
    <w:rsid w:val="00375199"/>
    <w:rPr>
      <w:color w:val="800080"/>
      <w:u w:val="single"/>
    </w:rPr>
  </w:style>
  <w:style w:type="paragraph" w:customStyle="1" w:styleId="webprensa">
    <w:name w:val="web_prensa"/>
    <w:basedOn w:val="Nagwek9"/>
    <w:link w:val="webprensaCar"/>
    <w:qFormat/>
    <w:rsid w:val="00375199"/>
    <w:pPr>
      <w:framePr w:wrap="around"/>
    </w:pPr>
    <w:rPr>
      <w:b/>
      <w:color w:val="003652"/>
      <w:sz w:val="16"/>
      <w:szCs w:val="16"/>
    </w:rPr>
  </w:style>
  <w:style w:type="character" w:customStyle="1" w:styleId="webprensaCar">
    <w:name w:val="web_prensa Car"/>
    <w:link w:val="webprensa"/>
    <w:rsid w:val="00375199"/>
    <w:rPr>
      <w:rFonts w:ascii="Verdana" w:eastAsia="MS Gothic" w:hAnsi="Verdana" w:cs="Times New Roman"/>
      <w:b/>
      <w:color w:val="003652"/>
      <w:sz w:val="16"/>
      <w:szCs w:val="16"/>
    </w:rPr>
  </w:style>
  <w:style w:type="character" w:customStyle="1" w:styleId="hipervincle">
    <w:name w:val="hipervincle"/>
    <w:uiPriority w:val="99"/>
    <w:rsid w:val="007C0000"/>
    <w:rPr>
      <w:color w:val="0000FF"/>
      <w:u w:val="thick"/>
    </w:rPr>
  </w:style>
  <w:style w:type="paragraph" w:styleId="Tekstprzypisudolnego">
    <w:name w:val="footnote text"/>
    <w:basedOn w:val="Normalny"/>
    <w:link w:val="TekstprzypisudolnegoZnak"/>
    <w:uiPriority w:val="99"/>
    <w:unhideWhenUsed/>
    <w:rsid w:val="00464497"/>
    <w:pPr>
      <w:spacing w:after="0" w:line="240" w:lineRule="auto"/>
      <w:jc w:val="left"/>
    </w:pPr>
    <w:rPr>
      <w:rFonts w:eastAsia="Calibri" w:cs="Times New Roman"/>
      <w:color w:val="auto"/>
      <w:spacing w:val="0"/>
      <w:lang w:val="en-GB" w:eastAsia="en-US"/>
    </w:rPr>
  </w:style>
  <w:style w:type="character" w:customStyle="1" w:styleId="TekstprzypisudolnegoZnak">
    <w:name w:val="Tekst przypisu dolnego Znak"/>
    <w:link w:val="Tekstprzypisudolnego"/>
    <w:uiPriority w:val="99"/>
    <w:rsid w:val="00464497"/>
    <w:rPr>
      <w:rFonts w:ascii="Calibri" w:eastAsia="Calibri" w:hAnsi="Calibri" w:cs="Times New Roman"/>
      <w:sz w:val="20"/>
      <w:szCs w:val="20"/>
      <w:lang w:val="en-GB" w:eastAsia="en-US"/>
    </w:rPr>
  </w:style>
  <w:style w:type="paragraph" w:styleId="Zwykytekst">
    <w:name w:val="Plain Text"/>
    <w:basedOn w:val="Normalny"/>
    <w:link w:val="ZwykytekstZnak"/>
    <w:uiPriority w:val="99"/>
    <w:unhideWhenUsed/>
    <w:rsid w:val="00464497"/>
    <w:pPr>
      <w:spacing w:after="0" w:line="240" w:lineRule="auto"/>
      <w:jc w:val="left"/>
    </w:pPr>
    <w:rPr>
      <w:rFonts w:eastAsia="Cambria" w:cs="Times New Roman"/>
      <w:color w:val="auto"/>
      <w:spacing w:val="0"/>
      <w:sz w:val="22"/>
      <w:szCs w:val="21"/>
      <w:lang w:val="es-ES" w:eastAsia="en-US"/>
    </w:rPr>
  </w:style>
  <w:style w:type="character" w:customStyle="1" w:styleId="ZwykytekstZnak">
    <w:name w:val="Zwykły tekst Znak"/>
    <w:link w:val="Zwykytekst"/>
    <w:uiPriority w:val="99"/>
    <w:rsid w:val="00464497"/>
    <w:rPr>
      <w:rFonts w:ascii="Calibri" w:eastAsia="Cambria" w:hAnsi="Calibri"/>
      <w:sz w:val="22"/>
      <w:szCs w:val="21"/>
      <w:lang w:val="es-ES" w:eastAsia="en-US"/>
    </w:rPr>
  </w:style>
  <w:style w:type="character" w:styleId="Odwoaniedokomentarza">
    <w:name w:val="annotation reference"/>
    <w:uiPriority w:val="99"/>
    <w:semiHidden/>
    <w:unhideWhenUsed/>
    <w:rsid w:val="00464497"/>
    <w:rPr>
      <w:sz w:val="16"/>
      <w:szCs w:val="16"/>
    </w:rPr>
  </w:style>
  <w:style w:type="paragraph" w:styleId="Tekstkomentarza">
    <w:name w:val="annotation text"/>
    <w:basedOn w:val="Normalny"/>
    <w:link w:val="TekstkomentarzaZnak"/>
    <w:uiPriority w:val="99"/>
    <w:unhideWhenUsed/>
    <w:rsid w:val="00464497"/>
    <w:pPr>
      <w:spacing w:line="240" w:lineRule="auto"/>
      <w:jc w:val="left"/>
    </w:pPr>
    <w:rPr>
      <w:rFonts w:ascii="Cambria" w:eastAsia="Cambria" w:hAnsi="Cambria" w:cs="Times New Roman"/>
      <w:color w:val="auto"/>
      <w:spacing w:val="0"/>
      <w:lang w:val="es-ES" w:eastAsia="en-US"/>
    </w:rPr>
  </w:style>
  <w:style w:type="character" w:customStyle="1" w:styleId="TekstkomentarzaZnak">
    <w:name w:val="Tekst komentarza Znak"/>
    <w:link w:val="Tekstkomentarza"/>
    <w:uiPriority w:val="99"/>
    <w:rsid w:val="00464497"/>
    <w:rPr>
      <w:rFonts w:eastAsia="Cambria"/>
      <w:sz w:val="20"/>
      <w:szCs w:val="20"/>
      <w:lang w:val="es-ES" w:eastAsia="en-US"/>
    </w:rPr>
  </w:style>
  <w:style w:type="paragraph" w:styleId="Tematkomentarza">
    <w:name w:val="annotation subject"/>
    <w:basedOn w:val="Tekstkomentarza"/>
    <w:next w:val="Tekstkomentarza"/>
    <w:link w:val="TematkomentarzaZnak"/>
    <w:uiPriority w:val="99"/>
    <w:semiHidden/>
    <w:unhideWhenUsed/>
    <w:rsid w:val="00275B74"/>
    <w:pPr>
      <w:spacing w:line="260" w:lineRule="exact"/>
      <w:jc w:val="both"/>
    </w:pPr>
    <w:rPr>
      <w:rFonts w:ascii="Calibri" w:hAnsi="Calibri"/>
      <w:b/>
      <w:bCs/>
      <w:color w:val="334350"/>
      <w:spacing w:val="-6"/>
      <w:lang w:val="es-ES_tradnl"/>
    </w:rPr>
  </w:style>
  <w:style w:type="character" w:customStyle="1" w:styleId="TematkomentarzaZnak">
    <w:name w:val="Temat komentarza Znak"/>
    <w:link w:val="Tematkomentarza"/>
    <w:uiPriority w:val="99"/>
    <w:semiHidden/>
    <w:rsid w:val="00275B74"/>
    <w:rPr>
      <w:rFonts w:ascii="Calibri" w:eastAsia="Cambria" w:hAnsi="Calibri" w:cs="Verdana"/>
      <w:b/>
      <w:bCs/>
      <w:color w:val="334350"/>
      <w:spacing w:val="-6"/>
      <w:sz w:val="20"/>
      <w:szCs w:val="20"/>
      <w:lang w:val="es-ES_tradnl" w:eastAsia="en-US"/>
    </w:rPr>
  </w:style>
  <w:style w:type="paragraph" w:styleId="NormalnyWeb">
    <w:name w:val="Normal (Web)"/>
    <w:basedOn w:val="Normalny"/>
    <w:uiPriority w:val="99"/>
    <w:semiHidden/>
    <w:unhideWhenUsed/>
    <w:rsid w:val="00624A5F"/>
    <w:pPr>
      <w:spacing w:before="100" w:beforeAutospacing="1" w:after="100" w:afterAutospacing="1" w:line="240" w:lineRule="auto"/>
      <w:jc w:val="left"/>
    </w:pPr>
    <w:rPr>
      <w:rFonts w:ascii="Times New Roman" w:eastAsia="Times New Roman" w:hAnsi="Times New Roman" w:cs="Times New Roman"/>
      <w:color w:val="auto"/>
      <w:spacing w:val="0"/>
      <w:sz w:val="24"/>
      <w:szCs w:val="24"/>
      <w:lang w:val="es-ES"/>
    </w:rPr>
  </w:style>
  <w:style w:type="paragraph" w:customStyle="1" w:styleId="Listavistosa-nfasis11">
    <w:name w:val="Lista vistosa - Énfasis 11"/>
    <w:basedOn w:val="Normalny"/>
    <w:uiPriority w:val="34"/>
    <w:qFormat/>
    <w:rsid w:val="00CE59FA"/>
    <w:pPr>
      <w:ind w:left="708"/>
    </w:pPr>
  </w:style>
  <w:style w:type="paragraph" w:customStyle="1" w:styleId="Default">
    <w:name w:val="Default"/>
    <w:rsid w:val="006D477C"/>
    <w:pPr>
      <w:autoSpaceDE w:val="0"/>
      <w:autoSpaceDN w:val="0"/>
      <w:adjustRightInd w:val="0"/>
    </w:pPr>
    <w:rPr>
      <w:rFonts w:ascii="Verdana" w:hAnsi="Verdana" w:cs="Verdana"/>
      <w:color w:val="000000"/>
      <w:sz w:val="24"/>
      <w:szCs w:val="24"/>
      <w:lang w:eastAsia="es-ES"/>
    </w:rPr>
  </w:style>
  <w:style w:type="paragraph" w:styleId="Akapitzlist">
    <w:name w:val="List Paragraph"/>
    <w:basedOn w:val="Normalny"/>
    <w:uiPriority w:val="34"/>
    <w:qFormat/>
    <w:rsid w:val="009E7304"/>
    <w:pPr>
      <w:ind w:left="720"/>
      <w:contextualSpacing/>
    </w:pPr>
  </w:style>
  <w:style w:type="character" w:customStyle="1" w:styleId="apple-converted-space">
    <w:name w:val="apple-converted-space"/>
    <w:basedOn w:val="Domylnaczcionkaakapitu"/>
    <w:rsid w:val="00897F13"/>
  </w:style>
  <w:style w:type="paragraph" w:customStyle="1" w:styleId="Cos">
    <w:name w:val="Cos"/>
    <w:rsid w:val="00D3083A"/>
    <w:pPr>
      <w:pBdr>
        <w:top w:val="nil"/>
        <w:left w:val="nil"/>
        <w:bottom w:val="nil"/>
        <w:right w:val="nil"/>
        <w:between w:val="nil"/>
        <w:bar w:val="nil"/>
      </w:pBdr>
      <w:spacing w:after="160" w:line="260" w:lineRule="exact"/>
      <w:jc w:val="both"/>
    </w:pPr>
    <w:rPr>
      <w:rFonts w:ascii="Calibri" w:eastAsia="Calibri" w:hAnsi="Calibri" w:cs="Calibri"/>
      <w:color w:val="334350"/>
      <w:spacing w:val="-5"/>
      <w:u w:color="334350"/>
      <w:bdr w:val="nil"/>
      <w:lang w:eastAsia="es-ES"/>
    </w:rPr>
  </w:style>
  <w:style w:type="table" w:customStyle="1" w:styleId="TableNormal1">
    <w:name w:val="Table Normal1"/>
    <w:rsid w:val="00D3083A"/>
    <w:rPr>
      <w:rFonts w:ascii="Times New Roman" w:eastAsia="Arial Unicode MS" w:hAnsi="Times New Roman"/>
    </w:rPr>
    <w:tblPr>
      <w:tblCellMar>
        <w:top w:w="0" w:type="dxa"/>
        <w:left w:w="0" w:type="dxa"/>
        <w:bottom w:w="0" w:type="dxa"/>
        <w:right w:w="0" w:type="dxa"/>
      </w:tblCellMar>
    </w:tblPr>
  </w:style>
  <w:style w:type="character" w:styleId="Odwoanieprzypisudolnego">
    <w:name w:val="footnote reference"/>
    <w:basedOn w:val="Domylnaczcionkaakapitu"/>
    <w:uiPriority w:val="99"/>
    <w:semiHidden/>
    <w:unhideWhenUsed/>
    <w:rsid w:val="00A646A3"/>
    <w:rPr>
      <w:vertAlign w:val="superscript"/>
    </w:rPr>
  </w:style>
  <w:style w:type="character" w:customStyle="1" w:styleId="UnresolvedMention1">
    <w:name w:val="Unresolved Mention1"/>
    <w:basedOn w:val="Domylnaczcionkaakapitu"/>
    <w:uiPriority w:val="99"/>
    <w:semiHidden/>
    <w:unhideWhenUsed/>
    <w:rsid w:val="000A6DE7"/>
    <w:rPr>
      <w:color w:val="605E5C"/>
      <w:shd w:val="clear" w:color="auto" w:fill="E1DFDD"/>
    </w:rPr>
  </w:style>
  <w:style w:type="paragraph" w:customStyle="1" w:styleId="P68B1DB1-Normal1">
    <w:name w:val="P68B1DB1-Normal1"/>
    <w:basedOn w:val="Normalny"/>
    <w:rsid w:val="00464A56"/>
    <w:pPr>
      <w:spacing w:after="0" w:line="276" w:lineRule="auto"/>
      <w:jc w:val="left"/>
    </w:pPr>
    <w:rPr>
      <w:rFonts w:ascii="Verdana" w:eastAsia="Verdana" w:hAnsi="Verdana"/>
      <w:b/>
      <w:color w:val="auto"/>
      <w:spacing w:val="0"/>
      <w:lang w:val="en-GB" w:eastAsia="en-GB"/>
    </w:rPr>
  </w:style>
  <w:style w:type="paragraph" w:customStyle="1" w:styleId="P68B1DB1-Normal3">
    <w:name w:val="P68B1DB1-Normal3"/>
    <w:basedOn w:val="Normalny"/>
    <w:rsid w:val="00464A56"/>
    <w:pPr>
      <w:spacing w:after="0" w:line="276" w:lineRule="auto"/>
      <w:jc w:val="left"/>
    </w:pPr>
    <w:rPr>
      <w:rFonts w:ascii="Verdana" w:eastAsia="Verdana" w:hAnsi="Verdana"/>
      <w:color w:val="auto"/>
      <w:spacing w:val="0"/>
      <w:sz w:val="22"/>
      <w:lang w:val="en-GB" w:eastAsia="en-GB"/>
    </w:rPr>
  </w:style>
  <w:style w:type="paragraph" w:styleId="Poprawka">
    <w:name w:val="Revision"/>
    <w:hidden/>
    <w:uiPriority w:val="99"/>
    <w:semiHidden/>
    <w:rsid w:val="00E81A55"/>
    <w:rPr>
      <w:rFonts w:ascii="Calibri" w:hAnsi="Calibri" w:cs="Verdana"/>
      <w:color w:val="334350"/>
      <w:spacing w:val="-6"/>
      <w:lang w:val="es-ES_tradnl" w:eastAsia="es-ES"/>
    </w:rPr>
  </w:style>
  <w:style w:type="paragraph" w:customStyle="1" w:styleId="P68B1DB1-Normal14">
    <w:name w:val="P68B1DB1-Normal14"/>
    <w:basedOn w:val="Normalny"/>
    <w:rsid w:val="009C2BD6"/>
    <w:rPr>
      <w:spacing w:val="0"/>
      <w:sz w:val="28"/>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745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llnex.com/investor-relations/financial-information/" TargetMode="External"/><Relationship Id="rId18" Type="http://schemas.openxmlformats.org/officeDocument/2006/relationships/hyperlink" Target="https://www.youtube.com/channel/UCs0QtkTeuaLSUJKXtus9bjQ"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lickr.com/photos/130912819@N06/" TargetMode="External"/><Relationship Id="rId7" Type="http://schemas.openxmlformats.org/officeDocument/2006/relationships/endnotes" Target="endnotes.xml"/><Relationship Id="rId12" Type="http://schemas.openxmlformats.org/officeDocument/2006/relationships/hyperlink" Target="https://www.cellnex.com/investor-relations/financial-information/" TargetMode="External"/><Relationship Id="rId17" Type="http://schemas.openxmlformats.org/officeDocument/2006/relationships/image" Target="media/image4.png"/><Relationship Id="rId25" Type="http://schemas.openxmlformats.org/officeDocument/2006/relationships/hyperlink" Target="https://www.cellnex.com/mediacenter/new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nkedin.com/company/cellnex-telecom/"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llnex.com" TargetMode="External"/><Relationship Id="rId24" Type="http://schemas.openxmlformats.org/officeDocument/2006/relationships/hyperlink" Target="mailto:communication@cellnextelecom.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anws.co/brXLA/%7bff6add48-9313-4bdd-8771-98c6d5671d12%7d"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witter.com/cellnextelecom" TargetMode="External"/><Relationship Id="rId22" Type="http://schemas.openxmlformats.org/officeDocument/2006/relationships/hyperlink" Target="http://anws.co/brXLB/%7bff6add48-9313-4bdd-8771-98c6d5671d12%7d"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cellnex.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https://www.cellnex.com/mediacenter/news/" TargetMode="External"/><Relationship Id="rId1" Type="http://schemas.openxmlformats.org/officeDocument/2006/relationships/hyperlink" Target="https://www.cellnex.com/mediacenter/new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runet\AppData\Local\Microsoft\Windows\Temporary%20Internet%20Files\Content.Outlook\CQSC4CGW\NotaPrensa_cellne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91188-7FBC-4B61-B9BC-3CA7A2E7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NotaPrensa_cellnex</Template>
  <TotalTime>0</TotalTime>
  <Pages>11</Pages>
  <Words>3364</Words>
  <Characters>20184</Characters>
  <Application>Microsoft Office Word</Application>
  <DocSecurity>4</DocSecurity>
  <Lines>168</Lines>
  <Paragraphs>47</Paragraphs>
  <ScaleCrop>false</ScaleCrop>
  <HeadingPairs>
    <vt:vector size="6" baseType="variant">
      <vt:variant>
        <vt:lpstr>Tytuł</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Abertis</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abrunet</dc:creator>
  <cp:lastModifiedBy>Cyrbus, Katarzyna</cp:lastModifiedBy>
  <cp:revision>2</cp:revision>
  <cp:lastPrinted>2023-03-07T10:55:00Z</cp:lastPrinted>
  <dcterms:created xsi:type="dcterms:W3CDTF">2023-03-07T10:57:00Z</dcterms:created>
  <dcterms:modified xsi:type="dcterms:W3CDTF">2023-03-07T10:57:00Z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WPathText">
    <vt:lpwstr>#21710161v1</vt:lpwstr>
  </property>
  <property fmtid="{D5CDD505-2E9C-101B-9397-08002B2CF9AE}" pid="3" name="MSIP_Label_ab904b49-3f4d-4965-871f-2e2fd7247f94_Application">
    <vt:lpwstr>Microsoft Azure Information Protection</vt:lpwstr>
  </property>
  <property fmtid="{D5CDD505-2E9C-101B-9397-08002B2CF9AE}" pid="4" name="MSIP_Label_ab904b49-3f4d-4965-871f-2e2fd7247f94_Enabled">
    <vt:lpwstr>True</vt:lpwstr>
  </property>
  <property fmtid="{D5CDD505-2E9C-101B-9397-08002B2CF9AE}" pid="5" name="MSIP_Label_ab904b49-3f4d-4965-871f-2e2fd7247f94_Extended_MSFT_Method">
    <vt:lpwstr>Automatic</vt:lpwstr>
  </property>
  <property fmtid="{D5CDD505-2E9C-101B-9397-08002B2CF9AE}" pid="6" name="MSIP_Label_ab904b49-3f4d-4965-871f-2e2fd7247f94_Name">
    <vt:lpwstr>Internal</vt:lpwstr>
  </property>
  <property fmtid="{D5CDD505-2E9C-101B-9397-08002B2CF9AE}" pid="7" name="MSIP_Label_ab904b49-3f4d-4965-871f-2e2fd7247f94_Owner">
    <vt:lpwstr>anna.bargallo@cellnextelecom.com</vt:lpwstr>
  </property>
  <property fmtid="{D5CDD505-2E9C-101B-9397-08002B2CF9AE}" pid="8" name="MSIP_Label_ab904b49-3f4d-4965-871f-2e2fd7247f94_SetDate">
    <vt:lpwstr>2021-02-26T06:26:01.1932991Z</vt:lpwstr>
  </property>
  <property fmtid="{D5CDD505-2E9C-101B-9397-08002B2CF9AE}" pid="9" name="MSIP_Label_ab904b49-3f4d-4965-871f-2e2fd7247f94_SiteId">
    <vt:lpwstr>05088b6e-1d96-4f6b-8918-48957eca4f00</vt:lpwstr>
  </property>
  <property fmtid="{D5CDD505-2E9C-101B-9397-08002B2CF9AE}" pid="10" name="Sensitivity">
    <vt:lpwstr>Internal</vt:lpwstr>
  </property>
</Properties>
</file>