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D05F" w14:textId="77777777" w:rsidR="001648C2" w:rsidRPr="00777887" w:rsidRDefault="00B719B6" w:rsidP="00C25FB9">
      <w:pPr>
        <w:pStyle w:val="webcabecera"/>
        <w:jc w:val="left"/>
        <w:rPr>
          <w:rFonts w:asciiTheme="minorHAnsi" w:eastAsia="MS Gothic" w:hAnsiTheme="minorHAnsi" w:cs="Times New Roman"/>
          <w:i w:val="0"/>
          <w:color w:val="549A0C"/>
          <w:sz w:val="26"/>
          <w:szCs w:val="26"/>
          <w:u w:val="single"/>
          <w:lang w:val="pl-PL"/>
        </w:rPr>
      </w:pPr>
      <w:r w:rsidRPr="00D339B0">
        <w:rPr>
          <w:rFonts w:eastAsia="MS Gothic" w:cs="Times New Roman"/>
          <w:i w:val="0"/>
          <w:color w:val="549A0C"/>
          <w:sz w:val="26"/>
          <w:szCs w:val="26"/>
          <w:u w:val="single"/>
          <w:lang w:val="pl"/>
        </w:rPr>
        <w:t>Wyniki za okres styczeń–czerwiec 2023 r.</w:t>
      </w:r>
    </w:p>
    <w:p w14:paraId="377F804A" w14:textId="4B259960" w:rsidR="00990109" w:rsidRPr="00777887" w:rsidRDefault="00B719B6" w:rsidP="0074501F">
      <w:pPr>
        <w:pStyle w:val="Nagwek1"/>
        <w:suppressAutoHyphens/>
        <w:spacing w:before="240" w:line="420" w:lineRule="exact"/>
        <w:ind w:right="-29"/>
        <w:jc w:val="center"/>
        <w:rPr>
          <w:rFonts w:asciiTheme="minorHAnsi" w:hAnsiTheme="minorHAnsi"/>
          <w:color w:val="549A0C"/>
          <w:sz w:val="46"/>
          <w:szCs w:val="46"/>
          <w:lang w:val="pl-PL"/>
        </w:rPr>
      </w:pPr>
      <w:r w:rsidRPr="00D339B0">
        <w:rPr>
          <w:rFonts w:ascii="Calibri" w:hAnsi="Calibri"/>
          <w:color w:val="549A0C"/>
          <w:sz w:val="46"/>
          <w:szCs w:val="46"/>
          <w:lang w:val="pl"/>
        </w:rPr>
        <w:t>Przychody Cellnex w pierwszym półroczu 2023 r. przekroczyły 2 mld EUR</w:t>
      </w:r>
    </w:p>
    <w:p w14:paraId="31695E11" w14:textId="77777777" w:rsidR="00990109" w:rsidRPr="00777887" w:rsidRDefault="00990109" w:rsidP="0074501F">
      <w:pPr>
        <w:suppressAutoHyphens/>
        <w:spacing w:after="0" w:line="240" w:lineRule="auto"/>
        <w:jc w:val="center"/>
        <w:rPr>
          <w:rFonts w:asciiTheme="minorHAnsi" w:eastAsia="MS Gothic" w:hAnsiTheme="minorHAnsi" w:cs="Times New Roman"/>
          <w:b/>
          <w:bCs/>
          <w:color w:val="549A0C"/>
          <w:sz w:val="26"/>
          <w:szCs w:val="26"/>
          <w:lang w:val="pl-PL"/>
        </w:rPr>
      </w:pPr>
    </w:p>
    <w:p w14:paraId="324A7B15" w14:textId="0D923875" w:rsidR="0074501F" w:rsidRPr="00777887" w:rsidRDefault="00B719B6" w:rsidP="0074501F">
      <w:pPr>
        <w:suppressAutoHyphens/>
        <w:spacing w:after="240" w:line="240" w:lineRule="auto"/>
        <w:jc w:val="center"/>
        <w:rPr>
          <w:rFonts w:asciiTheme="minorHAnsi" w:eastAsia="MS Gothic" w:hAnsiTheme="minorHAnsi" w:cs="Times New Roman"/>
          <w:b/>
          <w:bCs/>
          <w:color w:val="549A0C"/>
          <w:sz w:val="26"/>
          <w:szCs w:val="26"/>
          <w:lang w:val="pl-PL"/>
        </w:rPr>
      </w:pPr>
      <w:r w:rsidRPr="00D339B0">
        <w:rPr>
          <w:rFonts w:eastAsia="MS Gothic" w:cs="Times New Roman"/>
          <w:b/>
          <w:bCs/>
          <w:color w:val="549A0C"/>
          <w:sz w:val="26"/>
          <w:szCs w:val="26"/>
          <w:lang w:val="pl"/>
        </w:rPr>
        <w:t>Odnotowano wzrost EBITDA (+16%) i cyklicznych wolnych przepływów pieniężnych (+16%) spowodowany wzrostem organicznym (+7,1%) i konsolidacją geograficzną Cellnex</w:t>
      </w:r>
    </w:p>
    <w:p w14:paraId="0C8DF4BA" w14:textId="033D24D7" w:rsidR="0074501F" w:rsidRPr="00777887" w:rsidRDefault="00B719B6" w:rsidP="0074501F">
      <w:pPr>
        <w:suppressAutoHyphens/>
        <w:spacing w:after="240" w:line="240" w:lineRule="auto"/>
        <w:jc w:val="center"/>
        <w:rPr>
          <w:rFonts w:eastAsia="MS Gothic" w:cs="Times New Roman"/>
          <w:b/>
          <w:bCs/>
          <w:color w:val="549A0C"/>
          <w:sz w:val="26"/>
          <w:szCs w:val="26"/>
          <w:lang w:val="pl-PL"/>
        </w:rPr>
      </w:pPr>
      <w:r w:rsidRPr="00D339B0">
        <w:rPr>
          <w:rFonts w:eastAsia="MS Gothic" w:cs="Times New Roman"/>
          <w:b/>
          <w:bCs/>
          <w:color w:val="549A0C"/>
          <w:sz w:val="26"/>
          <w:szCs w:val="26"/>
          <w:lang w:val="pl"/>
        </w:rPr>
        <w:t>Pozycja na kluczowych rynkach wzmocniła się: Podpisano nowe umowy branżowe z SFR i </w:t>
      </w:r>
      <w:proofErr w:type="spellStart"/>
      <w:r w:rsidRPr="00D339B0">
        <w:rPr>
          <w:rFonts w:eastAsia="MS Gothic" w:cs="Times New Roman"/>
          <w:b/>
          <w:bCs/>
          <w:color w:val="549A0C"/>
          <w:sz w:val="26"/>
          <w:szCs w:val="26"/>
          <w:lang w:val="pl"/>
        </w:rPr>
        <w:t>Bouygues</w:t>
      </w:r>
      <w:proofErr w:type="spellEnd"/>
      <w:r w:rsidRPr="00D339B0">
        <w:rPr>
          <w:rFonts w:eastAsia="MS Gothic" w:cs="Times New Roman"/>
          <w:b/>
          <w:bCs/>
          <w:color w:val="549A0C"/>
          <w:sz w:val="26"/>
          <w:szCs w:val="26"/>
          <w:lang w:val="pl"/>
        </w:rPr>
        <w:t xml:space="preserve"> Telecom we Francji oraz przejęto pełna kontrolę nad spółką On Tower Poland, która zarządza stacjami bazowymi Play Communications i obsługuje je.</w:t>
      </w:r>
    </w:p>
    <w:p w14:paraId="3CF249EE" w14:textId="77777777" w:rsidR="00302334" w:rsidRPr="00D339B0" w:rsidRDefault="00B719B6" w:rsidP="0074501F">
      <w:pPr>
        <w:pStyle w:val="Akapitzlist"/>
        <w:suppressAutoHyphens/>
        <w:spacing w:before="120" w:after="100" w:afterAutospacing="1" w:line="240" w:lineRule="auto"/>
        <w:ind w:left="0" w:right="-171"/>
        <w:contextualSpacing w:val="0"/>
        <w:jc w:val="center"/>
        <w:rPr>
          <w:rFonts w:asciiTheme="minorHAnsi" w:hAnsiTheme="minorHAnsi"/>
          <w:b/>
          <w:color w:val="70AD47" w:themeColor="accent6"/>
          <w:sz w:val="26"/>
          <w:szCs w:val="26"/>
        </w:rPr>
      </w:pPr>
      <w:r w:rsidRPr="00D339B0">
        <w:rPr>
          <w:rFonts w:asciiTheme="minorHAnsi" w:hAnsiTheme="minorHAnsi"/>
          <w:noProof/>
          <w:lang w:val="pl"/>
        </w:rPr>
        <mc:AlternateContent>
          <mc:Choice Requires="wps">
            <w:drawing>
              <wp:inline distT="0" distB="0" distL="0" distR="0" wp14:anchorId="7A34BA89" wp14:editId="53E5188C">
                <wp:extent cx="5938520" cy="0"/>
                <wp:effectExtent l="8255" t="9525" r="6350" b="9525"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49A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arto="http://schemas.microsoft.com/office/word/2006/arto" xmlns:mo="http://schemas.microsoft.com/office/mac/office/2008/main" xmlns:mv="urn:schemas-microsoft-com:mac:vml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6529E4" id="Line 2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3EugEAAFIDAAAOAAAAZHJzL2Uyb0RvYy54bWysU01v2zAMvQ/YfxB0X+xk89AYcYohXXfp&#10;tgBtd2f0YQuTRUFU4uTfT1LTtNhuxS6EKJJPj4/U6vo4WnZQgQy6js9nNWfKCZTG9R1/fLj9cMUZ&#10;RXASLDrV8ZMifr1+/241+VYtcEArVWAJxFE7+Y4PMfq2qkgMagSaoVcuBTWGEWJyQ1/JAFNCH221&#10;qOvP1YRB+oBCEaXbm6cgXxd8rZWIP7UmFZnteOIWiw3F7rKt1ito+wB+MOJMA97AYgTj0qMXqBuI&#10;wPbB/AM1GhGQUMeZwLFCrY1QpYfUzbz+q5v7AbwqvSRxyF9kov8HK34cNm4bMnVxdPf+DsVvYg43&#10;A7heFQIPJ58GN89SVZOn9lKSHfLbwHbTd5QpB/YRiwpHHUamrfG/cmEGT52yY5H9dJFdHSMT6bJZ&#10;frxqFmk64jlWQZshcqEPFL8pHFk+dNwalxWBFg53FDOll5R87fDWWFumah2bOr5sFk0pILRG5mBO&#10;o9DvNjawA6S9aD4tv9Sb0l+KvE4LuHeygA0K5NfzOYKxT+f0uHVnWbISee2o3aE8bcOzXGlwheV5&#10;yfJmvPZL9ctXWP8BAAD//wMAUEsDBBQABgAIAAAAIQCj9rJ+2QAAAAIBAAAPAAAAZHJzL2Rvd25y&#10;ZXYueG1sTI9PS8QwEMXvgt8hjODNTV3/sO02XUT0ICLoKux12oxNtZmEJt1WP71ZL3p58HjDe78p&#10;N7PtxZ6G0DlWcL7IQBA3TnfcKnh7vT9bgQgRWWPvmBR8UYBNdXxUYqHdxC+038ZWpBIOBSowMfpC&#10;ytAYshgWzhOn7N0NFmOyQyv1gFMqt71cZtm1tNhxWjDo6dZQ87kdrYJd/ZGvxqfov5/N43TH+QNO&#10;l16p05P5Zg0i0hz/juGAn9ChSky1G1kH0StIj8RfTVl+cbUEUR+srEr5H736AQAA//8DAFBLAQIt&#10;ABQABgAIAAAAIQC2gziS/gAAAOEBAAATAAAAAAAAAAAAAAAAAAAAAABbQ29udGVudF9UeXBlc10u&#10;eG1sUEsBAi0AFAAGAAgAAAAhADj9If/WAAAAlAEAAAsAAAAAAAAAAAAAAAAALwEAAF9yZWxzLy5y&#10;ZWxzUEsBAi0AFAAGAAgAAAAhAEw6XcS6AQAAUgMAAA4AAAAAAAAAAAAAAAAALgIAAGRycy9lMm9E&#10;b2MueG1sUEsBAi0AFAAGAAgAAAAhAKP2sn7ZAAAAAgEAAA8AAAAAAAAAAAAAAAAAFAQAAGRycy9k&#10;b3ducmV2LnhtbFBLBQYAAAAABAAEAPMAAAAaBQAAAAA=&#10;" strokecolor="#549a0c">
                <w10:anchorlock/>
              </v:line>
            </w:pict>
          </mc:Fallback>
        </mc:AlternateContent>
      </w:r>
    </w:p>
    <w:p w14:paraId="360AF871" w14:textId="013A038C" w:rsidR="00A646A3" w:rsidRPr="00777887" w:rsidRDefault="00B719B6" w:rsidP="0074501F">
      <w:pPr>
        <w:pStyle w:val="Cuadrculamedia1-nfasis21"/>
        <w:numPr>
          <w:ilvl w:val="0"/>
          <w:numId w:val="2"/>
        </w:numPr>
        <w:suppressAutoHyphens/>
        <w:spacing w:after="120" w:line="240" w:lineRule="auto"/>
        <w:ind w:left="426" w:hanging="357"/>
        <w:rPr>
          <w:rFonts w:asciiTheme="minorHAnsi" w:hAnsiTheme="minorHAnsi"/>
          <w:b/>
          <w:color w:val="425563"/>
          <w:sz w:val="24"/>
          <w:szCs w:val="22"/>
          <w:lang w:val="pl-PL"/>
        </w:rPr>
      </w:pPr>
      <w:r w:rsidRPr="00D339B0">
        <w:rPr>
          <w:rFonts w:asciiTheme="minorHAnsi" w:hAnsiTheme="minorHAnsi"/>
          <w:color w:val="425563"/>
          <w:sz w:val="24"/>
          <w:szCs w:val="22"/>
          <w:lang w:val="pl"/>
        </w:rPr>
        <w:t>Główne wskaźniki</w:t>
      </w:r>
      <w:r w:rsidRPr="00D339B0">
        <w:rPr>
          <w:rStyle w:val="Odwoanieprzypisudolnego"/>
          <w:rFonts w:asciiTheme="minorHAnsi" w:hAnsiTheme="minorHAnsi"/>
          <w:color w:val="425563"/>
          <w:sz w:val="24"/>
          <w:szCs w:val="22"/>
          <w:lang w:val="pl"/>
        </w:rPr>
        <w:footnoteReference w:id="1"/>
      </w:r>
      <w:r w:rsidRPr="00D339B0">
        <w:rPr>
          <w:rFonts w:asciiTheme="minorHAnsi" w:hAnsiTheme="minorHAnsi"/>
          <w:color w:val="425563"/>
          <w:sz w:val="24"/>
          <w:szCs w:val="22"/>
          <w:lang w:val="pl"/>
        </w:rPr>
        <w:t xml:space="preserve"> odzwierciedlają </w:t>
      </w:r>
      <w:r w:rsidRPr="00D339B0">
        <w:rPr>
          <w:rFonts w:asciiTheme="minorHAnsi" w:hAnsiTheme="minorHAnsi"/>
          <w:b/>
          <w:bCs/>
          <w:color w:val="425563"/>
          <w:sz w:val="24"/>
          <w:szCs w:val="22"/>
          <w:lang w:val="pl"/>
        </w:rPr>
        <w:t>siłę działalności organicznej i konsolidację geograficzną Grupy:</w:t>
      </w:r>
    </w:p>
    <w:p w14:paraId="5DE9DDBE" w14:textId="7F9C7919" w:rsidR="00A646A3" w:rsidRPr="00777887" w:rsidRDefault="00B719B6" w:rsidP="0074501F">
      <w:pPr>
        <w:pStyle w:val="Akapitzlist"/>
        <w:numPr>
          <w:ilvl w:val="0"/>
          <w:numId w:val="2"/>
        </w:numPr>
        <w:suppressAutoHyphens/>
        <w:contextualSpacing w:val="0"/>
        <w:rPr>
          <w:rFonts w:asciiTheme="minorHAnsi" w:hAnsiTheme="minorHAnsi"/>
          <w:color w:val="425563"/>
          <w:spacing w:val="-8"/>
          <w:sz w:val="22"/>
          <w:szCs w:val="22"/>
          <w:lang w:val="pl-PL"/>
        </w:rPr>
      </w:pP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Przychody</w:t>
      </w:r>
      <w:r w:rsidRPr="00D339B0">
        <w:rPr>
          <w:rStyle w:val="Odwoanieprzypisudolnego"/>
          <w:rFonts w:asciiTheme="minorHAnsi" w:hAnsiTheme="minorHAnsi"/>
          <w:b/>
          <w:bCs/>
          <w:color w:val="425563"/>
          <w:sz w:val="22"/>
          <w:szCs w:val="22"/>
          <w:lang w:val="pl"/>
        </w:rPr>
        <w:footnoteReference w:id="2"/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wyniosły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2,001 mld EUR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(1,795 mld EUR bez uwzględnienia przychodów z refakturowania energii elektrycznej), w porównaniu z 1,69 mld EUR w pierwszym półroczu 2022 r. (1,538 EUR bez uwzględnienia przychodów z refakturowania);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skorygowany wskaźnik EBITDA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wyniósł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1,49 mld EUR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(w porównaniu z 1,282 mld w pierwszym półroczu 2022 r.), a 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cykliczne lewarowane wolne przepływy pieniężne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wyniosły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741 mln EUR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(w porównaniu z 637 mln w pierwszym półroczu 2022 r.).</w:t>
      </w:r>
    </w:p>
    <w:p w14:paraId="6FECA1EE" w14:textId="5C669E33" w:rsidR="00A646A3" w:rsidRPr="00777887" w:rsidRDefault="00B719B6" w:rsidP="0074501F">
      <w:pPr>
        <w:pStyle w:val="Cuadrculamedia1-nfasis21"/>
        <w:numPr>
          <w:ilvl w:val="0"/>
          <w:numId w:val="2"/>
        </w:numPr>
        <w:suppressAutoHyphens/>
        <w:spacing w:after="120" w:line="240" w:lineRule="auto"/>
        <w:rPr>
          <w:rFonts w:asciiTheme="minorHAnsi" w:hAnsiTheme="minorHAnsi"/>
          <w:bCs/>
          <w:color w:val="425563"/>
          <w:sz w:val="22"/>
          <w:szCs w:val="22"/>
          <w:lang w:val="pl-PL"/>
        </w:rPr>
      </w:pPr>
      <w:r w:rsidRPr="00D339B0">
        <w:rPr>
          <w:b/>
          <w:bCs/>
          <w:color w:val="425563"/>
          <w:sz w:val="22"/>
          <w:szCs w:val="22"/>
          <w:lang w:val="pl"/>
        </w:rPr>
        <w:t>Mocny wzrost organiczny:</w:t>
      </w:r>
      <w:r w:rsidRPr="00D339B0">
        <w:rPr>
          <w:color w:val="425563"/>
          <w:sz w:val="22"/>
          <w:szCs w:val="22"/>
          <w:lang w:val="pl"/>
        </w:rPr>
        <w:t xml:space="preserve"> </w:t>
      </w:r>
      <w:r w:rsidRPr="00D339B0">
        <w:rPr>
          <w:b/>
          <w:bCs/>
          <w:color w:val="425563"/>
          <w:sz w:val="22"/>
          <w:szCs w:val="22"/>
          <w:lang w:val="pl"/>
        </w:rPr>
        <w:t>+7,1%</w:t>
      </w:r>
      <w:r w:rsidRPr="00D339B0">
        <w:rPr>
          <w:color w:val="425563"/>
          <w:sz w:val="22"/>
          <w:szCs w:val="22"/>
          <w:lang w:val="pl"/>
        </w:rPr>
        <w:t xml:space="preserve"> punktów obecności w stacjach bazowych Grupy. </w:t>
      </w:r>
    </w:p>
    <w:p w14:paraId="640D147B" w14:textId="46012F11" w:rsidR="00A43021" w:rsidRPr="00777887" w:rsidRDefault="00B719B6" w:rsidP="00381712">
      <w:pPr>
        <w:pStyle w:val="Cuadrculamedia1-nfasis21"/>
        <w:numPr>
          <w:ilvl w:val="0"/>
          <w:numId w:val="2"/>
        </w:numPr>
        <w:suppressAutoHyphens/>
        <w:spacing w:after="120" w:line="240" w:lineRule="auto"/>
        <w:ind w:left="426" w:hanging="357"/>
        <w:rPr>
          <w:rFonts w:asciiTheme="minorHAnsi" w:hAnsiTheme="minorHAnsi"/>
          <w:color w:val="425563"/>
          <w:sz w:val="24"/>
          <w:szCs w:val="24"/>
          <w:lang w:val="pl-PL"/>
        </w:rPr>
      </w:pPr>
      <w:r w:rsidRPr="00D339B0">
        <w:rPr>
          <w:rFonts w:asciiTheme="minorHAnsi" w:hAnsiTheme="minorHAnsi"/>
          <w:color w:val="425563"/>
          <w:sz w:val="24"/>
          <w:szCs w:val="24"/>
          <w:lang w:val="pl"/>
        </w:rPr>
        <w:t xml:space="preserve">Spółka </w:t>
      </w:r>
      <w:r w:rsidRPr="00D339B0">
        <w:rPr>
          <w:rFonts w:asciiTheme="minorHAnsi" w:hAnsiTheme="minorHAnsi"/>
          <w:b/>
          <w:bCs/>
          <w:color w:val="425563"/>
          <w:sz w:val="24"/>
          <w:szCs w:val="24"/>
          <w:lang w:val="pl"/>
        </w:rPr>
        <w:t xml:space="preserve">podkreśla swoje zobowiązanie do osiągnięcia dodatnich wolnych przepływów pieniężnych </w:t>
      </w:r>
      <w:r w:rsidRPr="00D339B0">
        <w:rPr>
          <w:rFonts w:asciiTheme="minorHAnsi" w:hAnsiTheme="minorHAnsi"/>
          <w:color w:val="425563"/>
          <w:sz w:val="24"/>
          <w:szCs w:val="24"/>
          <w:lang w:val="pl"/>
        </w:rPr>
        <w:t xml:space="preserve">(osiągnięcia </w:t>
      </w:r>
      <w:r w:rsidRPr="00D339B0">
        <w:rPr>
          <w:rFonts w:asciiTheme="minorHAnsi" w:hAnsiTheme="minorHAnsi"/>
          <w:i/>
          <w:iCs/>
          <w:color w:val="425563"/>
          <w:sz w:val="24"/>
          <w:szCs w:val="24"/>
          <w:lang w:val="pl"/>
        </w:rPr>
        <w:t>progu rentowności</w:t>
      </w:r>
      <w:r w:rsidRPr="00D339B0">
        <w:rPr>
          <w:rFonts w:asciiTheme="minorHAnsi" w:hAnsiTheme="minorHAnsi"/>
          <w:color w:val="425563"/>
          <w:sz w:val="24"/>
          <w:szCs w:val="24"/>
          <w:lang w:val="pl"/>
        </w:rPr>
        <w:t xml:space="preserve"> do końca 2023 r.) oraz </w:t>
      </w:r>
      <w:r w:rsidRPr="00D339B0">
        <w:rPr>
          <w:rFonts w:asciiTheme="minorHAnsi" w:hAnsiTheme="minorHAnsi"/>
          <w:b/>
          <w:bCs/>
          <w:color w:val="425563"/>
          <w:sz w:val="24"/>
          <w:szCs w:val="24"/>
          <w:lang w:val="pl"/>
        </w:rPr>
        <w:t>uzyskania ratingu klasy inwestycyjnej od agencji S&amp;P najpóźniej do 2024 r. Potwierdza również swoją prognozę średnioterminową do 2025 r</w:t>
      </w:r>
      <w:r w:rsidRPr="00D339B0">
        <w:rPr>
          <w:rFonts w:asciiTheme="minorHAnsi" w:hAnsiTheme="minorHAnsi"/>
          <w:color w:val="425563"/>
          <w:sz w:val="24"/>
          <w:szCs w:val="24"/>
          <w:lang w:val="pl"/>
        </w:rPr>
        <w:t>.</w:t>
      </w:r>
      <w:r w:rsidRPr="00D339B0">
        <w:rPr>
          <w:rFonts w:asciiTheme="minorHAnsi" w:hAnsiTheme="minorHAnsi"/>
          <w:b/>
          <w:bCs/>
          <w:color w:val="425563"/>
          <w:sz w:val="24"/>
          <w:szCs w:val="24"/>
          <w:lang w:val="pl"/>
        </w:rPr>
        <w:t xml:space="preserve"> </w:t>
      </w:r>
      <w:bookmarkStart w:id="0" w:name="_Hlk140492845"/>
    </w:p>
    <w:p w14:paraId="64D7979C" w14:textId="3BE7B978" w:rsidR="00DF06F2" w:rsidRPr="00777887" w:rsidRDefault="002C04CC" w:rsidP="0074501F">
      <w:pPr>
        <w:pStyle w:val="Cuadrculamedia1-nfasis21"/>
        <w:numPr>
          <w:ilvl w:val="0"/>
          <w:numId w:val="2"/>
        </w:numPr>
        <w:suppressAutoHyphens/>
        <w:spacing w:after="120" w:line="240" w:lineRule="auto"/>
        <w:ind w:left="426" w:hanging="357"/>
        <w:rPr>
          <w:rFonts w:asciiTheme="minorHAnsi" w:hAnsiTheme="minorHAnsi"/>
          <w:b/>
          <w:bCs/>
          <w:color w:val="425563"/>
          <w:sz w:val="24"/>
          <w:szCs w:val="24"/>
          <w:lang w:val="pl-PL"/>
        </w:rPr>
      </w:pPr>
      <w:bookmarkStart w:id="1" w:name="_Hlk141207411"/>
      <w:r w:rsidRPr="00D339B0">
        <w:rPr>
          <w:b/>
          <w:bCs/>
          <w:lang w:val="pl"/>
        </w:rPr>
        <w:t xml:space="preserve">Potwierdzono, że </w:t>
      </w:r>
      <w:bookmarkEnd w:id="0"/>
      <w:r w:rsidRPr="00D339B0">
        <w:rPr>
          <w:b/>
          <w:bCs/>
          <w:color w:val="425563"/>
          <w:sz w:val="24"/>
          <w:szCs w:val="24"/>
          <w:lang w:val="pl"/>
        </w:rPr>
        <w:t>spółka będzie się koncentrować na wzroście organicznym, dyscyplinie i skutecznym wydatkowaniu środków na inwestycje</w:t>
      </w:r>
      <w:bookmarkEnd w:id="1"/>
      <w:r w:rsidRPr="00D339B0">
        <w:rPr>
          <w:color w:val="425563"/>
          <w:sz w:val="24"/>
          <w:szCs w:val="24"/>
          <w:lang w:val="pl"/>
        </w:rPr>
        <w:t>.</w:t>
      </w:r>
    </w:p>
    <w:p w14:paraId="3DE02F36" w14:textId="53EC9E66" w:rsidR="006B1F50" w:rsidRPr="00777887" w:rsidRDefault="00B719B6" w:rsidP="0074501F">
      <w:pPr>
        <w:pStyle w:val="Cuadrculamedia1-nfasis21"/>
        <w:numPr>
          <w:ilvl w:val="0"/>
          <w:numId w:val="2"/>
        </w:numPr>
        <w:suppressAutoHyphens/>
        <w:spacing w:after="120" w:line="240" w:lineRule="auto"/>
        <w:ind w:left="426" w:hanging="357"/>
        <w:rPr>
          <w:rFonts w:asciiTheme="minorHAnsi" w:hAnsiTheme="minorHAnsi"/>
          <w:b/>
          <w:bCs/>
          <w:color w:val="425563"/>
          <w:sz w:val="24"/>
          <w:szCs w:val="24"/>
          <w:lang w:val="pl-PL"/>
        </w:rPr>
      </w:pPr>
      <w:r w:rsidRPr="00D339B0">
        <w:rPr>
          <w:rFonts w:asciiTheme="minorHAnsi" w:hAnsiTheme="minorHAnsi"/>
          <w:b/>
          <w:bCs/>
          <w:color w:val="425563"/>
          <w:sz w:val="24"/>
          <w:szCs w:val="24"/>
          <w:lang w:val="pl"/>
        </w:rPr>
        <w:t>Zadłużenie finansowe netto</w:t>
      </w:r>
      <w:r w:rsidRPr="00D339B0">
        <w:rPr>
          <w:rStyle w:val="Odwoanieprzypisudolnego"/>
          <w:rFonts w:asciiTheme="minorHAnsi" w:hAnsiTheme="minorHAnsi"/>
          <w:b/>
          <w:bCs/>
          <w:color w:val="425563"/>
          <w:sz w:val="24"/>
          <w:szCs w:val="24"/>
          <w:lang w:val="pl"/>
        </w:rPr>
        <w:footnoteReference w:id="3"/>
      </w:r>
      <w:r w:rsidRPr="00D339B0">
        <w:rPr>
          <w:color w:val="425563"/>
          <w:sz w:val="24"/>
          <w:szCs w:val="24"/>
          <w:lang w:val="pl"/>
        </w:rPr>
        <w:t xml:space="preserve"> na czerwiec 2023 r. wynosi </w:t>
      </w:r>
      <w:r w:rsidRPr="00D339B0">
        <w:rPr>
          <w:b/>
          <w:bCs/>
          <w:color w:val="425563"/>
          <w:sz w:val="24"/>
          <w:szCs w:val="24"/>
          <w:lang w:val="pl"/>
        </w:rPr>
        <w:t>17,9 mld EUR</w:t>
      </w:r>
      <w:r w:rsidRPr="00D339B0">
        <w:rPr>
          <w:color w:val="425563"/>
          <w:sz w:val="24"/>
          <w:szCs w:val="24"/>
          <w:lang w:val="pl"/>
        </w:rPr>
        <w:t>.</w:t>
      </w:r>
      <w:r w:rsidRPr="00D339B0">
        <w:rPr>
          <w:b/>
          <w:bCs/>
          <w:color w:val="425563"/>
          <w:sz w:val="24"/>
          <w:szCs w:val="24"/>
          <w:lang w:val="pl"/>
        </w:rPr>
        <w:t xml:space="preserve"> 76% </w:t>
      </w:r>
      <w:r w:rsidRPr="00D339B0">
        <w:rPr>
          <w:color w:val="425563"/>
          <w:sz w:val="24"/>
          <w:szCs w:val="24"/>
          <w:lang w:val="pl"/>
        </w:rPr>
        <w:t xml:space="preserve">zadłużenia ma </w:t>
      </w:r>
      <w:r w:rsidRPr="00D339B0">
        <w:rPr>
          <w:b/>
          <w:bCs/>
          <w:color w:val="425563"/>
          <w:sz w:val="24"/>
          <w:szCs w:val="24"/>
          <w:lang w:val="pl"/>
        </w:rPr>
        <w:t>oprocentowanie stałe</w:t>
      </w:r>
      <w:r w:rsidRPr="00D339B0">
        <w:rPr>
          <w:b/>
          <w:bCs/>
          <w:color w:val="425563"/>
          <w:sz w:val="22"/>
          <w:szCs w:val="22"/>
          <w:lang w:val="pl"/>
        </w:rPr>
        <w:t>.</w:t>
      </w:r>
      <w:r w:rsidRPr="00D339B0">
        <w:rPr>
          <w:color w:val="425563"/>
          <w:sz w:val="22"/>
          <w:szCs w:val="22"/>
          <w:lang w:val="pl"/>
        </w:rPr>
        <w:t xml:space="preserve"> </w:t>
      </w:r>
    </w:p>
    <w:p w14:paraId="7D00A779" w14:textId="59D58E94" w:rsidR="003F4EB7" w:rsidRPr="00777887" w:rsidRDefault="00FD2219" w:rsidP="0074501F">
      <w:pPr>
        <w:pStyle w:val="Cuadrculamedia1-nfasis21"/>
        <w:numPr>
          <w:ilvl w:val="0"/>
          <w:numId w:val="2"/>
        </w:numPr>
        <w:suppressAutoHyphens/>
        <w:spacing w:after="120" w:line="240" w:lineRule="auto"/>
        <w:ind w:left="426" w:hanging="357"/>
        <w:rPr>
          <w:rFonts w:asciiTheme="minorHAnsi" w:hAnsiTheme="minorHAnsi"/>
          <w:color w:val="425563"/>
          <w:sz w:val="24"/>
          <w:szCs w:val="24"/>
          <w:lang w:val="pl-PL"/>
        </w:rPr>
      </w:pPr>
      <w:r w:rsidRPr="00D339B0">
        <w:rPr>
          <w:rFonts w:asciiTheme="minorHAnsi" w:hAnsiTheme="minorHAnsi"/>
          <w:color w:val="425563"/>
          <w:sz w:val="24"/>
          <w:szCs w:val="24"/>
          <w:lang w:val="pl"/>
        </w:rPr>
        <w:t>Spółka Cellnex zaciągnęła</w:t>
      </w:r>
      <w:r w:rsidRPr="00D339B0">
        <w:rPr>
          <w:rFonts w:asciiTheme="minorHAnsi" w:hAnsiTheme="minorHAnsi"/>
          <w:b/>
          <w:bCs/>
          <w:color w:val="425563"/>
          <w:sz w:val="24"/>
          <w:szCs w:val="24"/>
          <w:lang w:val="pl"/>
        </w:rPr>
        <w:t xml:space="preserve"> pożyczkę w wysokości 315 mln EUR od Europejskiego Banku Inwestycyjnego</w:t>
      </w:r>
      <w:r w:rsidRPr="00D339B0">
        <w:rPr>
          <w:rFonts w:asciiTheme="minorHAnsi" w:hAnsiTheme="minorHAnsi"/>
          <w:color w:val="425563"/>
          <w:sz w:val="24"/>
          <w:szCs w:val="24"/>
          <w:lang w:val="pl"/>
        </w:rPr>
        <w:t xml:space="preserve"> w celu sfinansowania </w:t>
      </w:r>
      <w:r w:rsidRPr="00D339B0">
        <w:rPr>
          <w:rFonts w:asciiTheme="minorHAnsi" w:hAnsiTheme="minorHAnsi"/>
          <w:b/>
          <w:bCs/>
          <w:color w:val="425563"/>
          <w:sz w:val="24"/>
          <w:szCs w:val="24"/>
          <w:lang w:val="pl"/>
        </w:rPr>
        <w:t>wdrożenia infrastruktury 5G w Hiszpanii, Portugalii, Francji, Włoszech i Polsce.</w:t>
      </w:r>
    </w:p>
    <w:p w14:paraId="5C8007E7" w14:textId="6D21825F" w:rsidR="00F6779D" w:rsidRPr="00777887" w:rsidRDefault="00B719B6" w:rsidP="0074501F">
      <w:pPr>
        <w:pStyle w:val="Cuadrculamedia1-nfasis21"/>
        <w:numPr>
          <w:ilvl w:val="0"/>
          <w:numId w:val="2"/>
        </w:numPr>
        <w:suppressAutoHyphens/>
        <w:spacing w:after="120" w:line="240" w:lineRule="auto"/>
        <w:ind w:left="426" w:hanging="357"/>
        <w:rPr>
          <w:rFonts w:asciiTheme="minorHAnsi" w:hAnsiTheme="minorHAnsi"/>
          <w:color w:val="425563"/>
          <w:sz w:val="24"/>
          <w:szCs w:val="24"/>
          <w:lang w:val="pl-PL"/>
        </w:rPr>
      </w:pPr>
      <w:r w:rsidRPr="00D339B0">
        <w:rPr>
          <w:rFonts w:asciiTheme="minorHAnsi" w:hAnsiTheme="minorHAnsi"/>
          <w:color w:val="425563"/>
          <w:sz w:val="24"/>
          <w:szCs w:val="24"/>
          <w:lang w:val="pl"/>
        </w:rPr>
        <w:t xml:space="preserve">Wg stanu na czerwiec 2023 r. spółka Cellnex dysponowała </w:t>
      </w:r>
      <w:r w:rsidRPr="00D339B0">
        <w:rPr>
          <w:rFonts w:asciiTheme="minorHAnsi" w:hAnsiTheme="minorHAnsi"/>
          <w:b/>
          <w:bCs/>
          <w:color w:val="425563"/>
          <w:sz w:val="24"/>
          <w:szCs w:val="24"/>
          <w:lang w:val="pl"/>
        </w:rPr>
        <w:t>płynnością natychmiastową</w:t>
      </w:r>
      <w:r w:rsidRPr="00D339B0">
        <w:rPr>
          <w:rFonts w:asciiTheme="minorHAnsi" w:hAnsiTheme="minorHAnsi"/>
          <w:color w:val="425563"/>
          <w:sz w:val="24"/>
          <w:szCs w:val="24"/>
          <w:lang w:val="pl"/>
        </w:rPr>
        <w:t xml:space="preserve"> (środki pieniężne i niewykorzystane instrumenty kredytowe) w kwocie około </w:t>
      </w:r>
      <w:r w:rsidRPr="00D339B0">
        <w:rPr>
          <w:rFonts w:asciiTheme="minorHAnsi" w:hAnsiTheme="minorHAnsi"/>
          <w:b/>
          <w:bCs/>
          <w:color w:val="425563"/>
          <w:sz w:val="24"/>
          <w:szCs w:val="24"/>
          <w:lang w:val="pl"/>
        </w:rPr>
        <w:t>3,7 mld EUR</w:t>
      </w:r>
      <w:r w:rsidRPr="00D339B0">
        <w:rPr>
          <w:rFonts w:asciiTheme="minorHAnsi" w:hAnsiTheme="minorHAnsi"/>
          <w:color w:val="425563"/>
          <w:sz w:val="24"/>
          <w:szCs w:val="24"/>
          <w:lang w:val="pl"/>
        </w:rPr>
        <w:t>.</w:t>
      </w:r>
    </w:p>
    <w:p w14:paraId="36BC083A" w14:textId="70CBA5D8" w:rsidR="00F6779D" w:rsidRPr="00777887" w:rsidRDefault="00B719B6" w:rsidP="0074501F">
      <w:pPr>
        <w:pStyle w:val="Cuadrculamedia1-nfasis21"/>
        <w:numPr>
          <w:ilvl w:val="0"/>
          <w:numId w:val="2"/>
        </w:numPr>
        <w:suppressAutoHyphens/>
        <w:spacing w:after="120" w:line="240" w:lineRule="auto"/>
        <w:ind w:left="426" w:hanging="357"/>
        <w:rPr>
          <w:rFonts w:asciiTheme="minorHAnsi" w:hAnsiTheme="minorHAnsi"/>
          <w:color w:val="425563"/>
          <w:sz w:val="24"/>
          <w:szCs w:val="24"/>
          <w:lang w:val="pl-PL"/>
        </w:rPr>
      </w:pPr>
      <w:r w:rsidRPr="00D339B0">
        <w:rPr>
          <w:rFonts w:asciiTheme="minorHAnsi" w:hAnsiTheme="minorHAnsi"/>
          <w:color w:val="425563"/>
          <w:sz w:val="24"/>
          <w:szCs w:val="24"/>
          <w:lang w:val="pl"/>
        </w:rPr>
        <w:lastRenderedPageBreak/>
        <w:t>Spółka zdobyła ocenę „</w:t>
      </w:r>
      <w:r w:rsidRPr="00D339B0">
        <w:rPr>
          <w:rFonts w:asciiTheme="minorHAnsi" w:hAnsiTheme="minorHAnsi"/>
          <w:b/>
          <w:bCs/>
          <w:color w:val="425563"/>
          <w:sz w:val="24"/>
          <w:szCs w:val="24"/>
          <w:lang w:val="pl"/>
        </w:rPr>
        <w:t>Najlepiej ocenianego przedsiębiorstwa w branży</w:t>
      </w:r>
      <w:r w:rsidRPr="00D339B0">
        <w:rPr>
          <w:rFonts w:asciiTheme="minorHAnsi" w:hAnsiTheme="minorHAnsi"/>
          <w:color w:val="425563"/>
          <w:sz w:val="24"/>
          <w:szCs w:val="24"/>
          <w:lang w:val="pl"/>
        </w:rPr>
        <w:t xml:space="preserve">” nadawaną przez </w:t>
      </w:r>
      <w:proofErr w:type="spellStart"/>
      <w:r w:rsidRPr="00D339B0">
        <w:rPr>
          <w:rFonts w:asciiTheme="minorHAnsi" w:hAnsiTheme="minorHAnsi"/>
          <w:b/>
          <w:bCs/>
          <w:color w:val="425563"/>
          <w:sz w:val="24"/>
          <w:szCs w:val="24"/>
          <w:lang w:val="pl"/>
        </w:rPr>
        <w:t>Sustainalytics</w:t>
      </w:r>
      <w:proofErr w:type="spellEnd"/>
      <w:r w:rsidRPr="00D339B0">
        <w:rPr>
          <w:rFonts w:asciiTheme="minorHAnsi" w:hAnsiTheme="minorHAnsi"/>
          <w:b/>
          <w:bCs/>
          <w:color w:val="425563"/>
          <w:sz w:val="24"/>
          <w:szCs w:val="24"/>
          <w:lang w:val="pl"/>
        </w:rPr>
        <w:t xml:space="preserve"> ESG </w:t>
      </w:r>
      <w:proofErr w:type="spellStart"/>
      <w:r w:rsidRPr="00D339B0">
        <w:rPr>
          <w:rFonts w:asciiTheme="minorHAnsi" w:hAnsiTheme="minorHAnsi"/>
          <w:b/>
          <w:bCs/>
          <w:color w:val="425563"/>
          <w:sz w:val="24"/>
          <w:szCs w:val="24"/>
          <w:lang w:val="pl"/>
        </w:rPr>
        <w:t>Risk</w:t>
      </w:r>
      <w:proofErr w:type="spellEnd"/>
      <w:r w:rsidRPr="00D339B0">
        <w:rPr>
          <w:rFonts w:asciiTheme="minorHAnsi" w:hAnsiTheme="minorHAnsi"/>
          <w:b/>
          <w:bCs/>
          <w:color w:val="425563"/>
          <w:sz w:val="24"/>
          <w:szCs w:val="24"/>
          <w:lang w:val="pl"/>
        </w:rPr>
        <w:t xml:space="preserve"> Rating</w:t>
      </w:r>
      <w:r w:rsidRPr="00D339B0">
        <w:rPr>
          <w:rFonts w:asciiTheme="minorHAnsi" w:hAnsiTheme="minorHAnsi"/>
          <w:color w:val="425563"/>
          <w:sz w:val="24"/>
          <w:szCs w:val="24"/>
          <w:lang w:val="pl"/>
        </w:rPr>
        <w:t xml:space="preserve">, co umocniło jej pozycję pośród </w:t>
      </w:r>
      <w:r w:rsidRPr="00D339B0">
        <w:rPr>
          <w:rFonts w:asciiTheme="minorHAnsi" w:hAnsiTheme="minorHAnsi"/>
          <w:b/>
          <w:bCs/>
          <w:color w:val="425563"/>
          <w:sz w:val="24"/>
          <w:szCs w:val="24"/>
          <w:lang w:val="pl"/>
        </w:rPr>
        <w:t>1% najlepszych spółek w sektorze telekomunikacyjnym</w:t>
      </w:r>
      <w:r w:rsidRPr="00D339B0">
        <w:rPr>
          <w:rFonts w:asciiTheme="minorHAnsi" w:hAnsiTheme="minorHAnsi"/>
          <w:color w:val="425563"/>
          <w:sz w:val="24"/>
          <w:szCs w:val="24"/>
          <w:lang w:val="pl"/>
        </w:rPr>
        <w:t xml:space="preserve"> oraz 4% najlepszych spółek globalnych pod względem ESG.</w:t>
      </w:r>
    </w:p>
    <w:p w14:paraId="669474B5" w14:textId="77777777" w:rsidR="00667C2D" w:rsidRPr="00D339B0" w:rsidRDefault="00B719B6" w:rsidP="0074501F">
      <w:pPr>
        <w:pStyle w:val="Cuadrculamedia1-nfasis21"/>
        <w:numPr>
          <w:ilvl w:val="0"/>
          <w:numId w:val="0"/>
        </w:numPr>
        <w:suppressAutoHyphens/>
        <w:spacing w:after="120" w:line="240" w:lineRule="auto"/>
        <w:ind w:left="69" w:hanging="69"/>
        <w:rPr>
          <w:rFonts w:asciiTheme="minorHAnsi" w:hAnsiTheme="minorHAnsi"/>
          <w:color w:val="425563"/>
          <w:sz w:val="24"/>
          <w:szCs w:val="24"/>
        </w:rPr>
      </w:pPr>
      <w:r w:rsidRPr="00D339B0">
        <w:rPr>
          <w:rFonts w:asciiTheme="minorHAnsi" w:hAnsiTheme="minorHAnsi"/>
          <w:noProof/>
          <w:color w:val="595959" w:themeColor="text1" w:themeTint="A6"/>
          <w:lang w:val="pl"/>
        </w:rPr>
        <mc:AlternateContent>
          <mc:Choice Requires="wps">
            <w:drawing>
              <wp:inline distT="0" distB="0" distL="0" distR="0" wp14:anchorId="16EB9997" wp14:editId="676FEA74">
                <wp:extent cx="5922645" cy="0"/>
                <wp:effectExtent l="0" t="0" r="20955" b="25400"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49A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arto="http://schemas.microsoft.com/office/word/2006/arto" xmlns:mo="http://schemas.microsoft.com/office/mac/office/2008/main" xmlns:mv="urn:schemas-microsoft-com:mac:vml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5E372A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vPtAEAAEgDAAAOAAAAZHJzL2Uyb0RvYy54bWysU11v2yAUfZ+0/4B4X+xYdbVYcaoqXffS&#10;bZHa/YAbwDYa5iIuiZ1/P6BJVm1vU18Q3I/DOYfL+m4eDTsqTxpty5eLkjNlBUpt+5b/fHn89Jkz&#10;CmAlGLSq5SdF/G7z8cN6co2qcEAjlWcRxFIzuZYPIbimKEgMagRaoFM2Jjv0I4R49H0hPUwRfTRF&#10;VZa3xYReOo9CEcXow2uSbzJ+1ykRfnQdqcBMyyO3kFef131ai80amt6DG7Q404D/YDGCtvHSK9QD&#10;BGAHr/+BGrXwSNiFhcCxwK7TQmUNUc2y/EvN8wBOZS3RHHJXm+j9YMX349bufKIuZvvsnlD8ImZx&#10;O4DtVSbwcnLx4ZbJqmJy1Fxb0oHczrP99A1lrIFDwOzC3PkxQUZ9bM5mn65mqzkwEYP1qqpub2rO&#10;xCVXQHNpdJ7CV4UjS5uWG22TD9DA8YlCIgLNpSSFLT5qY/JbGsumlq/qqs4NhEbLlExl5Pv91nh2&#10;hDgN9c3qvtxmVTHztszjwcoMNiiQX877ANq87uPlxp7NSPrTsFGzR3na+YtJ8bkyy/NopXl4e87d&#10;fz7A5jcAAAD//wMAUEsDBBQABgAIAAAAIQAZZoT22gAAAAIBAAAPAAAAZHJzL2Rvd25yZXYueG1s&#10;TI9BS8NAEIXvgv9hGcGb3dhKrTGbIhYFoRTTCtXbJDsmwexs2N2m8d+79aKXB483vPdNthxNJwZy&#10;vrWs4HqSgCCurG65VvC2e7pagPABWWNnmRR8k4dlfn6WYartkQsatqEWsYR9igqaEPpUSl81ZNBP&#10;bE8cs0/rDIZoXS21w2MsN52cJslcGmw5LjTY02ND1df2YBQUG3wvn1/Ll8Lv3f5m9YHVsEalLi/G&#10;h3sQgcbwdwwn/IgOeWQq7YG1F52C+Ej41Zjdzaa3IMqTlXkm/6PnPwAAAP//AwBQSwECLQAUAAYA&#10;CAAAACEAtoM4kv4AAADhAQAAEwAAAAAAAAAAAAAAAAAAAAAAW0NvbnRlbnRfVHlwZXNdLnhtbFBL&#10;AQItABQABgAIAAAAIQA4/SH/1gAAAJQBAAALAAAAAAAAAAAAAAAAAC8BAABfcmVscy8ucmVsc1BL&#10;AQItABQABgAIAAAAIQCT3OvPtAEAAEgDAAAOAAAAAAAAAAAAAAAAAC4CAABkcnMvZTJvRG9jLnht&#10;bFBLAQItABQABgAIAAAAIQAZZoT22gAAAAIBAAAPAAAAAAAAAAAAAAAAAA4EAABkcnMvZG93bnJl&#10;di54bWxQSwUGAAAAAAQABADzAAAAFQUAAAAA&#10;" strokecolor="#549a0c">
                <w10:anchorlock/>
              </v:line>
            </w:pict>
          </mc:Fallback>
        </mc:AlternateContent>
      </w:r>
    </w:p>
    <w:p w14:paraId="684E2336" w14:textId="067371E4" w:rsidR="00803DF6" w:rsidRPr="00777887" w:rsidRDefault="00B719B6" w:rsidP="0074501F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 w:rsidRPr="00D339B0">
        <w:rPr>
          <w:b/>
          <w:bCs/>
          <w:color w:val="425563"/>
          <w:sz w:val="22"/>
          <w:szCs w:val="22"/>
          <w:lang w:val="pl"/>
        </w:rPr>
        <w:t xml:space="preserve">Barcelona, 27 czerwca 2023 r. </w:t>
      </w:r>
      <w:r w:rsidRPr="00D339B0">
        <w:rPr>
          <w:color w:val="425563"/>
          <w:sz w:val="22"/>
          <w:szCs w:val="22"/>
          <w:lang w:val="pl"/>
        </w:rPr>
        <w:t>Spółka Cellnex Telecom przedstawiła wyniki za pierwszą połowę 2023 roku. Przychody zwiększyły się o 17% względem pierwszego półrocza 2022 r. (+18,4% uwzględniając przychody z refakturowania, tj. przychody pochodzące z refakturowania kosztów energii elektrycznej na rzecz klientów). Skorygowany wskaźnik EBITDA wzrósł do 1,49 mld EUR (około 16%), co odzwierciedla zarówno wzrost organiczny, jak i konsolidację geograficzną Spółki. Cykliczne lewarowane wolne przepływy pieniężne wyniosły 741 mln EUR (około 16%), a wolne przepływy pieniężne wynosiły -130 mln EUR w porównaniu z -739 mln EUR w pierwszym półroczu 2022 r. – poprawa o 82%.</w:t>
      </w:r>
    </w:p>
    <w:p w14:paraId="18A9B832" w14:textId="2A467320" w:rsidR="005C7C9B" w:rsidRPr="00777887" w:rsidRDefault="00D23C7A" w:rsidP="0074501F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Amortyzacja (+16% względem pierwszego półrocza 2022 r.) i koszty finansowe (+13% względem pierwszego półrocza 2022 r.) powiązane z procesem konsolidacji i integracji nabytych aktywów w obrębie Grupy skutkowały ujemnym wynikiem księgowym netto wynoszącym -193 mln EUR (względem -170 mln EUR w 2022 r.). </w:t>
      </w:r>
    </w:p>
    <w:p w14:paraId="420C0704" w14:textId="7E25DA29" w:rsidR="00DC64A1" w:rsidRPr="00777887" w:rsidRDefault="00B719B6" w:rsidP="0074501F">
      <w:pPr>
        <w:pStyle w:val="Cuadrculamedia1-nfasis21"/>
        <w:numPr>
          <w:ilvl w:val="0"/>
          <w:numId w:val="0"/>
        </w:numPr>
        <w:suppressAutoHyphens/>
        <w:spacing w:before="120" w:after="120"/>
        <w:rPr>
          <w:rFonts w:asciiTheme="minorHAnsi" w:hAnsiTheme="minorHAnsi"/>
          <w:color w:val="425563"/>
          <w:sz w:val="22"/>
          <w:szCs w:val="22"/>
          <w:lang w:val="pl-PL"/>
        </w:rPr>
      </w:pPr>
      <w:r w:rsidRPr="00D339B0">
        <w:rPr>
          <w:b/>
          <w:bCs/>
          <w:color w:val="425563"/>
          <w:sz w:val="22"/>
          <w:szCs w:val="22"/>
          <w:lang w:val="pl"/>
        </w:rPr>
        <w:t>Dyrektor wykonawczy spółki Cellnex</w:t>
      </w:r>
      <w:r w:rsidRPr="00D339B0">
        <w:rPr>
          <w:color w:val="425563"/>
          <w:sz w:val="22"/>
          <w:szCs w:val="22"/>
          <w:lang w:val="pl"/>
        </w:rPr>
        <w:t xml:space="preserve"> </w:t>
      </w:r>
      <w:r w:rsidRPr="00D339B0">
        <w:rPr>
          <w:b/>
          <w:bCs/>
          <w:color w:val="425563"/>
          <w:sz w:val="22"/>
          <w:szCs w:val="22"/>
          <w:lang w:val="pl"/>
        </w:rPr>
        <w:t xml:space="preserve">Marco </w:t>
      </w:r>
      <w:proofErr w:type="spellStart"/>
      <w:r w:rsidRPr="00D339B0">
        <w:rPr>
          <w:b/>
          <w:bCs/>
          <w:color w:val="425563"/>
          <w:sz w:val="22"/>
          <w:szCs w:val="22"/>
          <w:lang w:val="pl"/>
        </w:rPr>
        <w:t>Patuano</w:t>
      </w:r>
      <w:proofErr w:type="spellEnd"/>
      <w:r w:rsidRPr="00D339B0">
        <w:rPr>
          <w:b/>
          <w:bCs/>
          <w:color w:val="425563"/>
          <w:sz w:val="22"/>
          <w:szCs w:val="22"/>
          <w:lang w:val="pl"/>
        </w:rPr>
        <w:t xml:space="preserve"> </w:t>
      </w:r>
      <w:r w:rsidRPr="00D339B0">
        <w:rPr>
          <w:color w:val="425563"/>
          <w:sz w:val="22"/>
          <w:szCs w:val="22"/>
          <w:lang w:val="pl"/>
        </w:rPr>
        <w:t>skomentował te wyniki – Nasza działalność wciąż nabiera rozpędu – w pierwszym półroczu wszystkie nasze wskaźniki branżowe i finansowe wykazują silny wzrost. Osiągnęliśmy znaczne postępy w realizacji celów wyznaczonych w listopadzie zeszłego roku jako „nowy rozdział” w działalności Grupy, koncentrujących się na wzroście organicznym, osiągnięciu dodatnich wolnych przepływów pieniężnych do 2024 r. i uzyskaniu ratingu klasy inwestycyjnej do tego samego roku.</w:t>
      </w:r>
    </w:p>
    <w:p w14:paraId="62760EC6" w14:textId="0227014E" w:rsidR="00B74D24" w:rsidRPr="00777887" w:rsidRDefault="00FD3492" w:rsidP="0074501F">
      <w:pPr>
        <w:pStyle w:val="Cuadrculamedia1-nfasis21"/>
        <w:numPr>
          <w:ilvl w:val="0"/>
          <w:numId w:val="0"/>
        </w:numPr>
        <w:suppressAutoHyphens/>
        <w:spacing w:before="120" w:after="120"/>
        <w:rPr>
          <w:rFonts w:asciiTheme="minorHAnsi" w:hAnsiTheme="minorHAnsi"/>
          <w:color w:val="425563"/>
          <w:sz w:val="22"/>
          <w:szCs w:val="22"/>
          <w:lang w:val="pl-PL"/>
        </w:rPr>
      </w:pP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– Potwierdzone zostały wszystkie nasze filary strategiczne, czyli koncentracja na wzroście organicznym, dyscyplinie i skuteczności nakładów inwestycyjnych –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stwierdził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</w:t>
      </w:r>
      <w:proofErr w:type="spellStart"/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Patuano</w:t>
      </w:r>
      <w:proofErr w:type="spellEnd"/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. </w:t>
      </w:r>
    </w:p>
    <w:p w14:paraId="51F01DF3" w14:textId="77777777" w:rsidR="00B10609" w:rsidRPr="00777887" w:rsidRDefault="00B10609" w:rsidP="00AA13FD">
      <w:pPr>
        <w:suppressAutoHyphens/>
        <w:spacing w:line="240" w:lineRule="auto"/>
        <w:rPr>
          <w:b/>
          <w:bCs/>
          <w:color w:val="70AD47" w:themeColor="accent6"/>
          <w:sz w:val="24"/>
          <w:szCs w:val="24"/>
          <w:lang w:val="pl-PL"/>
        </w:rPr>
      </w:pPr>
    </w:p>
    <w:p w14:paraId="22108F30" w14:textId="4B4EB199" w:rsidR="006776F0" w:rsidRPr="00777887" w:rsidRDefault="006776F0" w:rsidP="00AA13FD">
      <w:pPr>
        <w:suppressAutoHyphens/>
        <w:spacing w:line="240" w:lineRule="auto"/>
        <w:rPr>
          <w:b/>
          <w:bCs/>
          <w:color w:val="70AD47" w:themeColor="accent6"/>
          <w:sz w:val="24"/>
          <w:szCs w:val="24"/>
          <w:lang w:val="pl-PL"/>
        </w:rPr>
      </w:pPr>
      <w:r w:rsidRPr="00D339B0">
        <w:rPr>
          <w:b/>
          <w:bCs/>
          <w:color w:val="70AD47" w:themeColor="accent6"/>
          <w:sz w:val="24"/>
          <w:szCs w:val="24"/>
          <w:lang w:val="pl"/>
        </w:rPr>
        <w:t>Wzmocnienie pozycji na kluczowych rynkach</w:t>
      </w:r>
    </w:p>
    <w:p w14:paraId="25122C1C" w14:textId="250016E5" w:rsidR="00700FAF" w:rsidRPr="00777887" w:rsidRDefault="00B719B6" w:rsidP="00AA13FD">
      <w:pPr>
        <w:suppressAutoHyphens/>
        <w:spacing w:line="240" w:lineRule="auto"/>
        <w:rPr>
          <w:rFonts w:asciiTheme="minorHAnsi" w:hAnsiTheme="minorHAnsi"/>
          <w:b/>
          <w:bCs/>
          <w:color w:val="425563"/>
          <w:sz w:val="22"/>
          <w:szCs w:val="22"/>
          <w:lang w:val="pl-PL"/>
        </w:rPr>
      </w:pP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Cellnex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wzmocniła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swoją pozycję we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Francji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dzięki przedłużeniu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umów branżowych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z 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SFR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i </w:t>
      </w:r>
      <w:proofErr w:type="spellStart"/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Bouygues</w:t>
      </w:r>
      <w:proofErr w:type="spellEnd"/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 Telecom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, a także w 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Polsce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, gdzie kontroluje obecnie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100%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udziałów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On Tower Poland.</w:t>
      </w:r>
    </w:p>
    <w:p w14:paraId="4532F3DB" w14:textId="169182D2" w:rsidR="00AA13FD" w:rsidRPr="00777887" w:rsidRDefault="00A015AB" w:rsidP="00A015AB">
      <w:pPr>
        <w:pStyle w:val="Akapitzlist"/>
        <w:numPr>
          <w:ilvl w:val="0"/>
          <w:numId w:val="25"/>
        </w:numPr>
        <w:suppressAutoHyphens/>
        <w:spacing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Zacieśniliśmy naszą współpracę dzięki spełnieniu istniejącej po stronie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SFR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potrzeby wdrożenia nowych punktów obecności w obecnych i nowych stacjach bazowych. Stało się to dzięki zawarciu długoterminowej umowy o świadczeniu usług przez okres 20 lat od daty założenia każdego nowego punktu obecności, z możliwością odnowienia umowy pod warunkiem zachowania wszelkich jej postanowień. Umowa ta jest związana z inwestycją realizowaną w perspektywie sześcioletniej, której wartość wyniesie maksymalnie 275 mln EUR, a która ma wygenerować roczny wskaźnik EBITDA na poziomie 35 mln EUR. </w:t>
      </w:r>
    </w:p>
    <w:p w14:paraId="4EC1EF8D" w14:textId="77777777" w:rsidR="00C51876" w:rsidRPr="00777887" w:rsidRDefault="00C51876" w:rsidP="00C51876">
      <w:pPr>
        <w:pStyle w:val="Akapitzlist"/>
        <w:suppressAutoHyphens/>
        <w:spacing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</w:p>
    <w:p w14:paraId="010FC9A5" w14:textId="2D24AA83" w:rsidR="00AA13FD" w:rsidRPr="00777887" w:rsidRDefault="00B719B6" w:rsidP="00C51876">
      <w:pPr>
        <w:pStyle w:val="Akapitzlist"/>
        <w:numPr>
          <w:ilvl w:val="0"/>
          <w:numId w:val="25"/>
        </w:numPr>
        <w:suppressAutoHyphens/>
        <w:spacing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Cellnex zgodziła się na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przedłużenie okresu realizacji projektu doprowadzania światłowodów do wież (</w:t>
      </w:r>
      <w:proofErr w:type="spellStart"/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fiber</w:t>
      </w:r>
      <w:proofErr w:type="spellEnd"/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 to the </w:t>
      </w:r>
      <w:proofErr w:type="spellStart"/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tower</w:t>
      </w:r>
      <w:proofErr w:type="spellEnd"/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, FTTT) 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rozpoczętego w 2020 r. w ramach </w:t>
      </w:r>
      <w:proofErr w:type="spellStart"/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Nexloop</w:t>
      </w:r>
      <w:proofErr w:type="spellEnd"/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we współpracy z </w:t>
      </w:r>
      <w:proofErr w:type="spellStart"/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Bouygues</w:t>
      </w:r>
      <w:proofErr w:type="spellEnd"/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 Telecom 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– umowa o świadczenie usług została przedłużona do 2050 r., z możliwością przedłużania jej o kolejne 5-letnie okresy (2050+5+5). Umowa obejmuje również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budowę maksymalnie 65 </w:t>
      </w:r>
      <w:r w:rsidRPr="00D339B0">
        <w:rPr>
          <w:rFonts w:asciiTheme="minorHAnsi" w:hAnsiTheme="minorHAnsi"/>
          <w:b/>
          <w:bCs/>
          <w:i/>
          <w:iCs/>
          <w:color w:val="425563"/>
          <w:sz w:val="22"/>
          <w:szCs w:val="22"/>
          <w:lang w:val="pl"/>
        </w:rPr>
        <w:t>biur w obszarze metropolitalnym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,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w których mieścić się będą centra przetwarzania danych (przetwarzanie brzegowe). Umowy te są związane z inwestycją realizowaną w perspektywie sześcioletniej, której wartość wyniesie maksymalnie 275 mln EUR, a która ma wygenerować roczny wskaźnik EBITDA na poziomie 30 mln EUR.</w:t>
      </w:r>
    </w:p>
    <w:p w14:paraId="55B7751D" w14:textId="77777777" w:rsidR="00C51876" w:rsidRPr="00777887" w:rsidRDefault="00C51876" w:rsidP="00C51876">
      <w:pPr>
        <w:pStyle w:val="Akapitzlist"/>
        <w:rPr>
          <w:rFonts w:asciiTheme="minorHAnsi" w:hAnsiTheme="minorHAnsi"/>
          <w:color w:val="425563"/>
          <w:sz w:val="22"/>
          <w:szCs w:val="22"/>
          <w:lang w:val="pl-PL"/>
        </w:rPr>
      </w:pPr>
    </w:p>
    <w:p w14:paraId="7A14BFE3" w14:textId="2BBBAEED" w:rsidR="005001D9" w:rsidRPr="00777887" w:rsidRDefault="00B719B6" w:rsidP="00C51876">
      <w:pPr>
        <w:pStyle w:val="Akapitzlist"/>
        <w:numPr>
          <w:ilvl w:val="0"/>
          <w:numId w:val="25"/>
        </w:numPr>
        <w:suppressAutoHyphens/>
        <w:spacing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30 czerwca ogłoszono, że na polskim rynku, na którym Spółka obsługuje infrastrukturę aktywną i bierną, Cellnex kontroluje obecnie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 100% jednostki zależnej, za pośrednictwem której zarządza stacjami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lastRenderedPageBreak/>
        <w:t>bazowymi operatora sieci komórkowych Play i obsługuje je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. Spółka Iliad sprzedała Cellnex posiadane przez nią 30% udziałów za kwotę 510 mln EUR (około 18 x EBITDA-AL). Obecnie On Tower Poland obsługuje łącznie 8500 stacji bazowych w Polsce i planuje uruchomić około 3400 nowych stacji bazowych najpóźniej do 2030 r. Spółka zawarła również umowę o świadczenie usług z Play na 20 lat z możliwością przedłużenia o kolejne dziesięcioletnie okresy.</w:t>
      </w:r>
    </w:p>
    <w:p w14:paraId="1ECA235B" w14:textId="5DD786C3" w:rsidR="00316A0C" w:rsidRPr="00777887" w:rsidRDefault="00316A0C" w:rsidP="0074501F">
      <w:pPr>
        <w:suppressAutoHyphens/>
        <w:spacing w:after="120" w:line="240" w:lineRule="auto"/>
        <w:rPr>
          <w:rFonts w:asciiTheme="minorHAnsi" w:hAnsiTheme="minorHAnsi"/>
          <w:b/>
          <w:color w:val="70AD47" w:themeColor="accent6"/>
          <w:sz w:val="24"/>
          <w:szCs w:val="24"/>
          <w:lang w:val="pl-PL"/>
        </w:rPr>
      </w:pPr>
    </w:p>
    <w:p w14:paraId="4BBB1759" w14:textId="53599AC3" w:rsidR="00BB478F" w:rsidRPr="00777887" w:rsidRDefault="00B719B6" w:rsidP="0074501F">
      <w:pPr>
        <w:suppressAutoHyphens/>
        <w:spacing w:after="120" w:line="240" w:lineRule="auto"/>
        <w:rPr>
          <w:rFonts w:asciiTheme="minorHAnsi" w:hAnsiTheme="minorHAnsi"/>
          <w:bCs/>
          <w:color w:val="70AD47" w:themeColor="accent6"/>
          <w:sz w:val="24"/>
          <w:szCs w:val="24"/>
          <w:lang w:val="pl-PL"/>
        </w:rPr>
      </w:pPr>
      <w:r w:rsidRPr="00D339B0">
        <w:rPr>
          <w:b/>
          <w:bCs/>
          <w:color w:val="70AD47" w:themeColor="accent6"/>
          <w:sz w:val="24"/>
          <w:szCs w:val="24"/>
          <w:lang w:val="pl"/>
        </w:rPr>
        <w:t>Obszary działalności i najważniejsze wskaźniki za okres</w:t>
      </w:r>
    </w:p>
    <w:p w14:paraId="637BA17F" w14:textId="361EE9C4" w:rsidR="004C36BA" w:rsidRPr="00777887" w:rsidRDefault="00B719B6" w:rsidP="0074501F">
      <w:pPr>
        <w:pStyle w:val="Akapitzlist"/>
        <w:numPr>
          <w:ilvl w:val="0"/>
          <w:numId w:val="6"/>
        </w:numPr>
        <w:suppressAutoHyphens/>
        <w:spacing w:after="80" w:line="240" w:lineRule="auto"/>
        <w:ind w:left="714" w:hanging="357"/>
        <w:contextualSpacing w:val="0"/>
        <w:rPr>
          <w:rFonts w:asciiTheme="minorHAnsi" w:hAnsiTheme="minorHAnsi"/>
          <w:color w:val="425563"/>
          <w:sz w:val="22"/>
          <w:szCs w:val="22"/>
          <w:lang w:val="pl-PL"/>
        </w:rPr>
      </w:pP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Usługi związane z infrastrukturą dla operatorów sieci komórkowych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(branża TIS) przyniosły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91,1% przychodów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– 1,824 mld EUR, co daje 19,3% wzrostu rok do roku.</w:t>
      </w:r>
    </w:p>
    <w:p w14:paraId="18EF821F" w14:textId="5A328B18" w:rsidR="008A0ECA" w:rsidRPr="00777887" w:rsidRDefault="00B719B6" w:rsidP="0074501F">
      <w:pPr>
        <w:pStyle w:val="Akapitzlist"/>
        <w:numPr>
          <w:ilvl w:val="0"/>
          <w:numId w:val="6"/>
        </w:numPr>
        <w:suppressAutoHyphens/>
        <w:spacing w:after="80" w:line="240" w:lineRule="auto"/>
        <w:ind w:left="714" w:hanging="357"/>
        <w:contextualSpacing w:val="0"/>
        <w:rPr>
          <w:rFonts w:asciiTheme="minorHAnsi" w:hAnsiTheme="minorHAnsi"/>
          <w:color w:val="425563"/>
          <w:sz w:val="22"/>
          <w:szCs w:val="22"/>
          <w:lang w:val="pl-PL"/>
        </w:rPr>
      </w:pP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Działalność w sektorze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infrastruktury nadawczej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przyniosła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5,8%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przychodów, czyli 115 mln EUR. </w:t>
      </w:r>
    </w:p>
    <w:p w14:paraId="375F91D7" w14:textId="77777777" w:rsidR="00BB478F" w:rsidRPr="00777887" w:rsidRDefault="00B719B6" w:rsidP="0074501F">
      <w:pPr>
        <w:pStyle w:val="Akapitzlist"/>
        <w:numPr>
          <w:ilvl w:val="0"/>
          <w:numId w:val="6"/>
        </w:numPr>
        <w:suppressAutoHyphens/>
        <w:spacing w:after="80" w:line="240" w:lineRule="auto"/>
        <w:ind w:left="714" w:hanging="357"/>
        <w:contextualSpacing w:val="0"/>
        <w:rPr>
          <w:rFonts w:asciiTheme="minorHAnsi" w:hAnsiTheme="minorHAnsi"/>
          <w:color w:val="425563"/>
          <w:sz w:val="22"/>
          <w:szCs w:val="22"/>
          <w:lang w:val="pl-PL"/>
        </w:rPr>
      </w:pP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Działalność związana z 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sieciami bezpieczeństwa i sieciami służb ratunkowych oraz rozwiązaniami w zakresie inteligentnego zarządzania infrastrukturą miejską 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(</w:t>
      </w:r>
      <w:proofErr w:type="spellStart"/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IoT</w:t>
      </w:r>
      <w:proofErr w:type="spellEnd"/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i Smart </w:t>
      </w:r>
      <w:proofErr w:type="spellStart"/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Cities</w:t>
      </w:r>
      <w:proofErr w:type="spellEnd"/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) przyniosła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3,1%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przychodu, dając łącznie 62 mln EUR.</w:t>
      </w:r>
    </w:p>
    <w:p w14:paraId="41EE6E1E" w14:textId="6A866BDD" w:rsidR="00A6467B" w:rsidRPr="00777887" w:rsidRDefault="00A6467B" w:rsidP="00A6467B">
      <w:pPr>
        <w:pStyle w:val="Cuadrculamedia1-nfasis21"/>
        <w:numPr>
          <w:ilvl w:val="0"/>
          <w:numId w:val="6"/>
        </w:numPr>
        <w:suppressAutoHyphens/>
        <w:spacing w:after="80"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 w:rsidRPr="00D339B0">
        <w:rPr>
          <w:b/>
          <w:bCs/>
          <w:color w:val="425563"/>
          <w:sz w:val="22"/>
          <w:szCs w:val="22"/>
          <w:lang w:val="pl"/>
        </w:rPr>
        <w:t>Na dzień 30 czerwca</w:t>
      </w:r>
      <w:r w:rsidRPr="00D339B0">
        <w:rPr>
          <w:color w:val="425563"/>
          <w:sz w:val="22"/>
          <w:szCs w:val="22"/>
          <w:lang w:val="pl"/>
        </w:rPr>
        <w:t xml:space="preserve"> spółka Cellnex dysponowała łącznie liczbą </w:t>
      </w:r>
      <w:r w:rsidRPr="00D339B0">
        <w:rPr>
          <w:b/>
          <w:bCs/>
          <w:color w:val="425563"/>
          <w:sz w:val="22"/>
          <w:szCs w:val="22"/>
          <w:lang w:val="pl"/>
        </w:rPr>
        <w:t xml:space="preserve">112 737 sprawnych stacji bazowych </w:t>
      </w:r>
      <w:r w:rsidRPr="00D339B0">
        <w:rPr>
          <w:color w:val="425563"/>
          <w:sz w:val="22"/>
          <w:szCs w:val="22"/>
          <w:lang w:val="pl"/>
        </w:rPr>
        <w:t xml:space="preserve">(bez uwzględniania 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16.060</w:t>
      </w:r>
      <w:r w:rsidRPr="00D339B0">
        <w:rPr>
          <w:color w:val="425563"/>
          <w:sz w:val="22"/>
          <w:szCs w:val="22"/>
          <w:lang w:val="pl"/>
        </w:rPr>
        <w:t xml:space="preserve"> stacji bazowych, których uruchomienie jest planowane do 2030 r.): 25 181 we Francji, 21 743 we Włoszech, 15 736 w Polsce, 12 558 w Wielkiej Brytanii, 10 465 w Hiszpanii, 6464 w Portugalii, 5434 w Szwajcarii, 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4564</w:t>
      </w:r>
      <w:r w:rsidRPr="00D339B0">
        <w:rPr>
          <w:color w:val="425563"/>
          <w:sz w:val="22"/>
          <w:szCs w:val="22"/>
          <w:lang w:val="pl"/>
        </w:rPr>
        <w:t xml:space="preserve"> w Austrii,</w:t>
      </w:r>
      <w:r w:rsidRPr="00D339B0">
        <w:rPr>
          <w:lang w:val="pl"/>
        </w:rPr>
        <w:t xml:space="preserve"> </w:t>
      </w:r>
      <w:r w:rsidRPr="00D339B0">
        <w:rPr>
          <w:color w:val="425563"/>
          <w:sz w:val="22"/>
          <w:szCs w:val="22"/>
          <w:lang w:val="pl"/>
        </w:rPr>
        <w:t>4088 w Holandii,</w:t>
      </w:r>
      <w:r w:rsidRPr="00D339B0">
        <w:rPr>
          <w:lang w:val="pl"/>
        </w:rPr>
        <w:t xml:space="preserve"> </w:t>
      </w:r>
      <w:r w:rsidRPr="00D339B0">
        <w:rPr>
          <w:color w:val="425563"/>
          <w:sz w:val="22"/>
          <w:szCs w:val="22"/>
          <w:lang w:val="pl"/>
        </w:rPr>
        <w:t xml:space="preserve">2955 w Szwecji, 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1947</w:t>
      </w:r>
      <w:r w:rsidRPr="00D339B0">
        <w:rPr>
          <w:color w:val="425563"/>
          <w:sz w:val="22"/>
          <w:szCs w:val="22"/>
          <w:lang w:val="pl"/>
        </w:rPr>
        <w:t xml:space="preserve"> w Irlandii oraz 1602 w Danii, </w:t>
      </w:r>
      <w:r w:rsidRPr="00D339B0">
        <w:rPr>
          <w:b/>
          <w:bCs/>
          <w:color w:val="425563"/>
          <w:sz w:val="22"/>
          <w:szCs w:val="22"/>
          <w:lang w:val="pl"/>
        </w:rPr>
        <w:t xml:space="preserve">a także 8541 węzłów DAS i stacji bazowych o małej mocy. </w:t>
      </w:r>
    </w:p>
    <w:p w14:paraId="5E352784" w14:textId="5BFD2633" w:rsidR="000C7083" w:rsidRPr="00777887" w:rsidRDefault="00B719B6" w:rsidP="000C7083">
      <w:pPr>
        <w:pStyle w:val="Cuadrculamedia1-nfasis21"/>
        <w:numPr>
          <w:ilvl w:val="0"/>
          <w:numId w:val="6"/>
        </w:numPr>
        <w:suppressAutoHyphens/>
        <w:spacing w:after="80" w:line="240" w:lineRule="auto"/>
        <w:ind w:left="714" w:hanging="357"/>
        <w:rPr>
          <w:rFonts w:asciiTheme="minorHAnsi" w:hAnsiTheme="minorHAnsi"/>
          <w:color w:val="425563"/>
          <w:sz w:val="22"/>
          <w:szCs w:val="22"/>
          <w:lang w:val="pl-PL"/>
        </w:rPr>
      </w:pPr>
      <w:r w:rsidRPr="00D339B0">
        <w:rPr>
          <w:b/>
          <w:bCs/>
          <w:color w:val="425563"/>
          <w:sz w:val="22"/>
          <w:szCs w:val="22"/>
          <w:lang w:val="pl"/>
        </w:rPr>
        <w:t xml:space="preserve">Wzrost organiczny </w:t>
      </w:r>
      <w:r w:rsidRPr="00D339B0">
        <w:rPr>
          <w:color w:val="425563"/>
          <w:sz w:val="22"/>
          <w:szCs w:val="22"/>
          <w:lang w:val="pl"/>
        </w:rPr>
        <w:t xml:space="preserve">pod względem </w:t>
      </w:r>
      <w:r w:rsidRPr="00D339B0">
        <w:rPr>
          <w:b/>
          <w:bCs/>
          <w:color w:val="425563"/>
          <w:sz w:val="22"/>
          <w:szCs w:val="22"/>
          <w:lang w:val="pl"/>
        </w:rPr>
        <w:t xml:space="preserve">punktów obecności </w:t>
      </w:r>
      <w:r w:rsidRPr="00D339B0">
        <w:rPr>
          <w:color w:val="425563"/>
          <w:sz w:val="22"/>
          <w:szCs w:val="22"/>
          <w:lang w:val="pl"/>
        </w:rPr>
        <w:t>w stacjach bazowych był wyższy o </w:t>
      </w:r>
      <w:r w:rsidRPr="00D339B0">
        <w:rPr>
          <w:b/>
          <w:bCs/>
          <w:color w:val="425563"/>
          <w:sz w:val="22"/>
          <w:szCs w:val="22"/>
          <w:lang w:val="pl"/>
        </w:rPr>
        <w:t xml:space="preserve">7,1% </w:t>
      </w:r>
      <w:r w:rsidRPr="00D339B0">
        <w:rPr>
          <w:color w:val="425563"/>
          <w:sz w:val="22"/>
          <w:szCs w:val="22"/>
          <w:lang w:val="pl"/>
        </w:rPr>
        <w:t xml:space="preserve">w porównaniu do tego samego okresu roku 2022, z którego </w:t>
      </w:r>
      <w:r w:rsidRPr="00D339B0">
        <w:rPr>
          <w:b/>
          <w:bCs/>
          <w:color w:val="425563"/>
          <w:sz w:val="22"/>
          <w:szCs w:val="22"/>
          <w:lang w:val="pl"/>
        </w:rPr>
        <w:t>4,1%</w:t>
      </w:r>
      <w:r w:rsidRPr="00D339B0">
        <w:rPr>
          <w:color w:val="425563"/>
          <w:sz w:val="22"/>
          <w:szCs w:val="22"/>
          <w:lang w:val="pl"/>
        </w:rPr>
        <w:t xml:space="preserve"> było związane z </w:t>
      </w:r>
      <w:r w:rsidRPr="00D339B0">
        <w:rPr>
          <w:b/>
          <w:bCs/>
          <w:color w:val="425563"/>
          <w:sz w:val="22"/>
          <w:szCs w:val="22"/>
          <w:lang w:val="pl"/>
        </w:rPr>
        <w:t xml:space="preserve">nowymi kolokacjami </w:t>
      </w:r>
      <w:r w:rsidRPr="00D339B0">
        <w:rPr>
          <w:color w:val="425563"/>
          <w:sz w:val="22"/>
          <w:szCs w:val="22"/>
          <w:lang w:val="pl"/>
        </w:rPr>
        <w:t xml:space="preserve">i obecnymi stacjami bazowymi o łącznej liczbie </w:t>
      </w:r>
      <w:r w:rsidRPr="00D339B0">
        <w:rPr>
          <w:b/>
          <w:bCs/>
          <w:color w:val="425563"/>
          <w:sz w:val="22"/>
          <w:szCs w:val="22"/>
          <w:lang w:val="pl"/>
        </w:rPr>
        <w:t>2741</w:t>
      </w:r>
      <w:r w:rsidRPr="00D339B0">
        <w:rPr>
          <w:color w:val="425563"/>
          <w:sz w:val="22"/>
          <w:szCs w:val="22"/>
          <w:lang w:val="pl"/>
        </w:rPr>
        <w:t>, a </w:t>
      </w:r>
      <w:r w:rsidRPr="00D339B0">
        <w:rPr>
          <w:b/>
          <w:bCs/>
          <w:color w:val="425563"/>
          <w:sz w:val="22"/>
          <w:szCs w:val="22"/>
          <w:lang w:val="pl"/>
        </w:rPr>
        <w:t>3%</w:t>
      </w:r>
      <w:r w:rsidRPr="00D339B0">
        <w:rPr>
          <w:color w:val="425563"/>
          <w:sz w:val="22"/>
          <w:szCs w:val="22"/>
          <w:lang w:val="pl"/>
        </w:rPr>
        <w:t xml:space="preserve"> związane było z uruchomieniem </w:t>
      </w:r>
      <w:r w:rsidRPr="00D339B0">
        <w:rPr>
          <w:b/>
          <w:bCs/>
          <w:color w:val="425563"/>
          <w:sz w:val="22"/>
          <w:szCs w:val="22"/>
          <w:lang w:val="pl"/>
        </w:rPr>
        <w:t xml:space="preserve">2220 nowych stacji bazowych </w:t>
      </w:r>
      <w:r w:rsidRPr="00D339B0">
        <w:rPr>
          <w:color w:val="425563"/>
          <w:sz w:val="22"/>
          <w:szCs w:val="22"/>
          <w:lang w:val="pl"/>
        </w:rPr>
        <w:t>w tym okresie.</w:t>
      </w:r>
    </w:p>
    <w:p w14:paraId="210CE466" w14:textId="2EE08ED9" w:rsidR="000C7083" w:rsidRPr="00777887" w:rsidRDefault="000C7083" w:rsidP="00897A5C">
      <w:pPr>
        <w:pStyle w:val="Cuadrculamedia1-nfasis21"/>
        <w:numPr>
          <w:ilvl w:val="0"/>
          <w:numId w:val="6"/>
        </w:numPr>
        <w:suppressAutoHyphens/>
        <w:spacing w:after="80" w:line="240" w:lineRule="auto"/>
        <w:ind w:left="714" w:hanging="357"/>
        <w:rPr>
          <w:rFonts w:asciiTheme="minorHAnsi" w:hAnsiTheme="minorHAnsi"/>
          <w:color w:val="425563"/>
          <w:sz w:val="22"/>
          <w:szCs w:val="22"/>
          <w:lang w:val="pl-PL"/>
        </w:rPr>
      </w:pP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Łączna wartość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inwestycji w pierwszym półroczu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2023 r. wynosiła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 około 1,5 mld EUR, 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poniesionych głównie na wdrożenie w kilku krajach ciągłych programów BTS (709 mln) oraz zakupu 30% udziałów On Tower Poland (510 mln EUR).</w:t>
      </w:r>
    </w:p>
    <w:p w14:paraId="37105933" w14:textId="725C208C" w:rsidR="00897A5C" w:rsidRPr="00777887" w:rsidRDefault="00897A5C" w:rsidP="00897A5C">
      <w:pPr>
        <w:pStyle w:val="Cuadrculamedia1-nfasis21"/>
        <w:numPr>
          <w:ilvl w:val="0"/>
          <w:numId w:val="6"/>
        </w:numPr>
        <w:suppressAutoHyphens/>
        <w:spacing w:after="80" w:line="240" w:lineRule="auto"/>
        <w:ind w:left="714" w:hanging="357"/>
        <w:rPr>
          <w:rFonts w:asciiTheme="minorHAnsi" w:hAnsiTheme="minorHAnsi"/>
          <w:b/>
          <w:bCs/>
          <w:color w:val="425563"/>
          <w:sz w:val="22"/>
          <w:szCs w:val="22"/>
          <w:lang w:val="pl-PL"/>
        </w:rPr>
      </w:pP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Wolne przepływy pieniężne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w 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pierwszym półroczu 2023 r. 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wynosiły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 -130 mln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 EUR w porównaniu z -739 mln EUR w pierwszym półroczu 2022 r.</w:t>
      </w:r>
    </w:p>
    <w:p w14:paraId="3D198772" w14:textId="77777777" w:rsidR="00897A5C" w:rsidRPr="00777887" w:rsidRDefault="00897A5C" w:rsidP="0074501F">
      <w:pPr>
        <w:suppressAutoHyphens/>
        <w:spacing w:line="240" w:lineRule="auto"/>
        <w:jc w:val="left"/>
        <w:rPr>
          <w:b/>
          <w:bCs/>
          <w:color w:val="70AD47" w:themeColor="accent6"/>
          <w:sz w:val="24"/>
          <w:szCs w:val="24"/>
          <w:lang w:val="pl-PL"/>
        </w:rPr>
      </w:pPr>
    </w:p>
    <w:p w14:paraId="67FB0D92" w14:textId="35774EDF" w:rsidR="008F28C1" w:rsidRPr="00777887" w:rsidRDefault="00B719B6" w:rsidP="0074501F">
      <w:pPr>
        <w:suppressAutoHyphens/>
        <w:spacing w:line="240" w:lineRule="auto"/>
        <w:jc w:val="left"/>
        <w:rPr>
          <w:rFonts w:asciiTheme="minorHAnsi" w:hAnsiTheme="minorHAnsi"/>
          <w:b/>
          <w:color w:val="70AD47" w:themeColor="accent6"/>
          <w:sz w:val="24"/>
          <w:szCs w:val="24"/>
          <w:lang w:val="pl-PL"/>
        </w:rPr>
      </w:pPr>
      <w:r w:rsidRPr="00D339B0">
        <w:rPr>
          <w:b/>
          <w:bCs/>
          <w:color w:val="70AD47" w:themeColor="accent6"/>
          <w:sz w:val="24"/>
          <w:szCs w:val="24"/>
          <w:lang w:val="pl"/>
        </w:rPr>
        <w:t>Struktura finansowa</w:t>
      </w:r>
    </w:p>
    <w:p w14:paraId="2544771A" w14:textId="3A5E1537" w:rsidR="008D6101" w:rsidRPr="00777887" w:rsidRDefault="00B719B6" w:rsidP="0074501F">
      <w:pPr>
        <w:pStyle w:val="Cuadrculamedia1-nfasis21"/>
        <w:numPr>
          <w:ilvl w:val="0"/>
          <w:numId w:val="0"/>
        </w:numPr>
        <w:suppressAutoHyphens/>
        <w:spacing w:after="80" w:line="240" w:lineRule="auto"/>
        <w:rPr>
          <w:rFonts w:asciiTheme="minorHAnsi" w:hAnsiTheme="minorHAnsi"/>
          <w:b/>
          <w:color w:val="425563"/>
          <w:sz w:val="22"/>
          <w:szCs w:val="22"/>
          <w:lang w:val="pl-PL"/>
        </w:rPr>
      </w:pP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Struktura zadłużenia 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spółki Cellnex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cechuje się elastycznością 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wynikającą z 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różnorodności instrumentów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. </w:t>
      </w:r>
    </w:p>
    <w:p w14:paraId="4E99EAD9" w14:textId="0A6FDF0C" w:rsidR="008D6101" w:rsidRPr="00777887" w:rsidRDefault="00B719B6" w:rsidP="0074501F">
      <w:pPr>
        <w:pStyle w:val="Cuadrculamedia1-nfasis21"/>
        <w:numPr>
          <w:ilvl w:val="0"/>
          <w:numId w:val="7"/>
        </w:numPr>
        <w:suppressAutoHyphens/>
        <w:spacing w:after="80" w:line="240" w:lineRule="auto"/>
        <w:ind w:left="714" w:hanging="357"/>
        <w:rPr>
          <w:rFonts w:asciiTheme="minorHAnsi" w:hAnsiTheme="minorHAnsi"/>
          <w:b/>
          <w:color w:val="425563"/>
          <w:sz w:val="22"/>
          <w:szCs w:val="22"/>
          <w:lang w:val="pl-PL"/>
        </w:rPr>
      </w:pP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Zadłużenie netto grupy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– stan na czerwiec 2023 r., z wyłączeniem zobowiązań z tytułu leasingu –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wyniosło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</w:t>
      </w:r>
      <w:bookmarkStart w:id="2" w:name="_Hlk85465399"/>
      <w:r w:rsidRPr="00D339B0">
        <w:rPr>
          <w:b/>
          <w:bCs/>
          <w:color w:val="425563"/>
          <w:sz w:val="22"/>
          <w:szCs w:val="22"/>
          <w:lang w:val="pl"/>
        </w:rPr>
        <w:t>17,</w:t>
      </w:r>
      <w:bookmarkEnd w:id="2"/>
      <w:r w:rsidRPr="00D339B0">
        <w:rPr>
          <w:b/>
          <w:bCs/>
          <w:color w:val="425563"/>
          <w:sz w:val="22"/>
          <w:szCs w:val="22"/>
          <w:lang w:val="pl"/>
        </w:rPr>
        <w:t>9 mld EUR</w:t>
      </w:r>
      <w:r w:rsidRPr="00D339B0">
        <w:rPr>
          <w:color w:val="425563"/>
          <w:sz w:val="22"/>
          <w:szCs w:val="22"/>
          <w:lang w:val="pl"/>
        </w:rPr>
        <w:t xml:space="preserve">. </w:t>
      </w:r>
      <w:r w:rsidRPr="00D339B0">
        <w:rPr>
          <w:b/>
          <w:bCs/>
          <w:color w:val="425563"/>
          <w:sz w:val="22"/>
          <w:szCs w:val="22"/>
          <w:lang w:val="pl"/>
        </w:rPr>
        <w:t xml:space="preserve">76% </w:t>
      </w:r>
      <w:r w:rsidRPr="00D339B0">
        <w:rPr>
          <w:color w:val="425563"/>
          <w:sz w:val="22"/>
          <w:szCs w:val="22"/>
          <w:lang w:val="pl"/>
        </w:rPr>
        <w:t xml:space="preserve">zadłużenia ma </w:t>
      </w:r>
      <w:r w:rsidRPr="00D339B0">
        <w:rPr>
          <w:b/>
          <w:bCs/>
          <w:color w:val="425563"/>
          <w:sz w:val="22"/>
          <w:szCs w:val="22"/>
          <w:lang w:val="pl"/>
        </w:rPr>
        <w:t>oprocentowanie stałe.</w:t>
      </w:r>
      <w:r w:rsidRPr="00D339B0">
        <w:rPr>
          <w:color w:val="425563"/>
          <w:sz w:val="22"/>
          <w:szCs w:val="22"/>
          <w:lang w:val="pl"/>
        </w:rPr>
        <w:t xml:space="preserve"> </w:t>
      </w:r>
    </w:p>
    <w:p w14:paraId="01D36ED6" w14:textId="2B5A62AC" w:rsidR="00DA6C5C" w:rsidRPr="00777887" w:rsidRDefault="00AC70E7" w:rsidP="0074501F">
      <w:pPr>
        <w:pStyle w:val="Cuadrculamedia1-nfasis21"/>
        <w:numPr>
          <w:ilvl w:val="0"/>
          <w:numId w:val="7"/>
        </w:numPr>
        <w:suppressAutoHyphens/>
        <w:spacing w:after="80" w:line="240" w:lineRule="auto"/>
        <w:ind w:left="714" w:hanging="357"/>
        <w:rPr>
          <w:rFonts w:asciiTheme="minorHAnsi" w:hAnsiTheme="minorHAnsi"/>
          <w:bCs/>
          <w:color w:val="425563"/>
          <w:sz w:val="22"/>
          <w:szCs w:val="22"/>
          <w:lang w:val="pl-PL"/>
        </w:rPr>
      </w:pP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>W lipcu spółka Cellnex zaciągnęła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 pożyczkę w wysokości 315 mln EUR od Europejskiego Banku Inwestycyjnego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 w celu sfinansowania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wdrożenia infrastruktury 5G 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w Hiszpanii, Portugalii, Francji, Włoszech i Polsce. </w:t>
      </w:r>
    </w:p>
    <w:p w14:paraId="274FBFB7" w14:textId="69CABBD1" w:rsidR="008D6101" w:rsidRPr="00777887" w:rsidRDefault="00B719B6" w:rsidP="0074501F">
      <w:pPr>
        <w:pStyle w:val="Cuadrculamedia1-nfasis21"/>
        <w:numPr>
          <w:ilvl w:val="0"/>
          <w:numId w:val="7"/>
        </w:numPr>
        <w:suppressAutoHyphens/>
        <w:spacing w:after="80" w:line="240" w:lineRule="auto"/>
        <w:ind w:left="714" w:hanging="357"/>
        <w:rPr>
          <w:rFonts w:asciiTheme="minorHAnsi" w:hAnsiTheme="minorHAnsi"/>
          <w:color w:val="425563"/>
          <w:sz w:val="22"/>
          <w:szCs w:val="22"/>
          <w:lang w:val="pl-PL"/>
        </w:rPr>
      </w:pP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Wg stanu na czerwiec 2023 r. spółka Cellnex dysponowała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płynnością natychmiastową 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(środki pieniężne i niewykorzystane instrumenty) w kwocie około </w:t>
      </w:r>
      <w:r w:rsidRPr="00D339B0"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3,7 mld EUR</w:t>
      </w:r>
      <w:r w:rsidRPr="00D339B0">
        <w:rPr>
          <w:rFonts w:asciiTheme="minorHAnsi" w:hAnsiTheme="minorHAnsi"/>
          <w:color w:val="425563"/>
          <w:sz w:val="22"/>
          <w:szCs w:val="22"/>
          <w:lang w:val="pl"/>
        </w:rPr>
        <w:t xml:space="preserve">. </w:t>
      </w:r>
    </w:p>
    <w:p w14:paraId="397A9D42" w14:textId="501A8326" w:rsidR="008D6101" w:rsidRPr="00777887" w:rsidRDefault="00B719B6" w:rsidP="0074501F">
      <w:pPr>
        <w:pStyle w:val="Akapitzlist"/>
        <w:numPr>
          <w:ilvl w:val="0"/>
          <w:numId w:val="7"/>
        </w:numPr>
        <w:suppressAutoHyphens/>
        <w:spacing w:after="80" w:line="240" w:lineRule="auto"/>
        <w:ind w:left="714" w:hanging="357"/>
        <w:contextualSpacing w:val="0"/>
        <w:rPr>
          <w:rFonts w:asciiTheme="minorHAnsi" w:hAnsiTheme="minorHAnsi"/>
          <w:color w:val="425563"/>
          <w:spacing w:val="-8"/>
          <w:sz w:val="22"/>
          <w:szCs w:val="22"/>
          <w:lang w:val="pl-PL"/>
        </w:rPr>
      </w:pPr>
      <w:r w:rsidRPr="00D339B0">
        <w:rPr>
          <w:b/>
          <w:bCs/>
          <w:color w:val="425563"/>
          <w:sz w:val="22"/>
          <w:szCs w:val="22"/>
          <w:lang w:val="pl"/>
        </w:rPr>
        <w:t xml:space="preserve">Papiery wartościowe wyemitowane przez spółkę Cellnex utrzymują swoją klasę inwestycyjną </w:t>
      </w:r>
      <w:r w:rsidRPr="00D339B0">
        <w:rPr>
          <w:color w:val="425563"/>
          <w:sz w:val="22"/>
          <w:szCs w:val="22"/>
          <w:lang w:val="pl"/>
        </w:rPr>
        <w:t xml:space="preserve">Fitch (BBB-), a w lutym potwierdzono, że dotyczące ich prognozy są stabilne. Z kolei </w:t>
      </w:r>
      <w:r w:rsidRPr="00D339B0">
        <w:rPr>
          <w:b/>
          <w:bCs/>
          <w:color w:val="425563"/>
          <w:sz w:val="22"/>
          <w:szCs w:val="22"/>
          <w:lang w:val="pl"/>
        </w:rPr>
        <w:t xml:space="preserve">agencja S&amp;P utrzymuje ocenę BB+ i stabilną prognozę </w:t>
      </w:r>
      <w:r w:rsidRPr="00D339B0">
        <w:rPr>
          <w:color w:val="425563"/>
          <w:sz w:val="22"/>
          <w:szCs w:val="22"/>
          <w:lang w:val="pl"/>
        </w:rPr>
        <w:t>potwierdzoną w kwietniu.</w:t>
      </w:r>
    </w:p>
    <w:p w14:paraId="2FEFCC49" w14:textId="105B56C4" w:rsidR="00F93C20" w:rsidRPr="00777887" w:rsidRDefault="00F93C20" w:rsidP="0074501F">
      <w:pPr>
        <w:suppressAutoHyphens/>
        <w:spacing w:line="240" w:lineRule="auto"/>
        <w:rPr>
          <w:rFonts w:asciiTheme="minorHAnsi" w:hAnsiTheme="minorHAnsi"/>
          <w:b/>
          <w:color w:val="70AD47" w:themeColor="accent6"/>
          <w:sz w:val="24"/>
          <w:szCs w:val="24"/>
          <w:lang w:val="pl-PL"/>
        </w:rPr>
      </w:pPr>
    </w:p>
    <w:p w14:paraId="1D7CE829" w14:textId="176DF05E" w:rsidR="00B038F9" w:rsidRPr="00777887" w:rsidRDefault="00B719B6" w:rsidP="00886DCD">
      <w:pPr>
        <w:suppressAutoHyphens/>
        <w:spacing w:line="240" w:lineRule="auto"/>
        <w:jc w:val="left"/>
        <w:rPr>
          <w:b/>
          <w:bCs/>
          <w:color w:val="70AD47" w:themeColor="accent6"/>
          <w:sz w:val="24"/>
          <w:szCs w:val="24"/>
          <w:lang w:val="pl-PL"/>
        </w:rPr>
      </w:pPr>
      <w:r w:rsidRPr="00D339B0">
        <w:rPr>
          <w:b/>
          <w:bCs/>
          <w:color w:val="70AD47" w:themeColor="accent6"/>
          <w:sz w:val="24"/>
          <w:szCs w:val="24"/>
          <w:lang w:val="pl"/>
        </w:rPr>
        <w:lastRenderedPageBreak/>
        <w:t>Perspektywa na rok 2025</w:t>
      </w:r>
    </w:p>
    <w:p w14:paraId="5BE325FD" w14:textId="6D64388D" w:rsidR="00B038F9" w:rsidRPr="00777887" w:rsidRDefault="00B719B6" w:rsidP="00B038F9">
      <w:pPr>
        <w:suppressAutoHyphens/>
        <w:spacing w:after="0" w:line="240" w:lineRule="auto"/>
        <w:rPr>
          <w:rFonts w:asciiTheme="minorHAnsi" w:hAnsiTheme="minorHAnsi" w:cs="Calibri"/>
          <w:b/>
          <w:bCs/>
          <w:color w:val="425563"/>
          <w:spacing w:val="0"/>
          <w:sz w:val="22"/>
          <w:szCs w:val="22"/>
          <w:lang w:val="pl-PL"/>
        </w:rPr>
      </w:pPr>
      <w:r w:rsidRPr="00D339B0">
        <w:rPr>
          <w:rFonts w:asciiTheme="minorHAnsi" w:hAnsiTheme="minorHAnsi" w:cs="Calibri"/>
          <w:color w:val="425563"/>
          <w:sz w:val="22"/>
          <w:szCs w:val="22"/>
          <w:lang w:val="pl"/>
        </w:rPr>
        <w:t>Spółka Cellnex potwierdza swoją prognozę ogłoszoną na rok 2025, z </w:t>
      </w:r>
      <w:r w:rsidRPr="00D339B0">
        <w:rPr>
          <w:rFonts w:asciiTheme="minorHAnsi" w:hAnsiTheme="minorHAnsi" w:cs="Calibri"/>
          <w:b/>
          <w:bCs/>
          <w:color w:val="425563"/>
          <w:sz w:val="22"/>
          <w:szCs w:val="22"/>
          <w:lang w:val="pl"/>
        </w:rPr>
        <w:t xml:space="preserve">przychodami w zakresie od 4,1 do 4,3 mld EUR, EBITDA w zakresie od 3,3 do 3,5 mld EUR </w:t>
      </w:r>
      <w:r w:rsidRPr="00D339B0">
        <w:rPr>
          <w:rFonts w:asciiTheme="minorHAnsi" w:hAnsiTheme="minorHAnsi" w:cs="Calibri"/>
          <w:color w:val="425563"/>
          <w:sz w:val="22"/>
          <w:szCs w:val="22"/>
          <w:lang w:val="pl"/>
        </w:rPr>
        <w:t>i </w:t>
      </w:r>
      <w:r w:rsidRPr="00D339B0">
        <w:rPr>
          <w:rFonts w:asciiTheme="minorHAnsi" w:hAnsiTheme="minorHAnsi" w:cs="Calibri"/>
          <w:b/>
          <w:bCs/>
          <w:color w:val="425563"/>
          <w:sz w:val="22"/>
          <w:szCs w:val="22"/>
          <w:lang w:val="pl"/>
        </w:rPr>
        <w:t>cyklicznymi lewarowanymi wolnymi przepływami pieniężnymi w zakresie od 2,0 do 2,2 mld EUR.</w:t>
      </w:r>
    </w:p>
    <w:p w14:paraId="38DA7335" w14:textId="03986DC6" w:rsidR="00343237" w:rsidRPr="00777887" w:rsidRDefault="00343237" w:rsidP="00B038F9">
      <w:pPr>
        <w:suppressAutoHyphens/>
        <w:spacing w:after="0" w:line="240" w:lineRule="auto"/>
        <w:rPr>
          <w:rFonts w:asciiTheme="minorHAnsi" w:hAnsiTheme="minorHAnsi" w:cs="Calibri"/>
          <w:b/>
          <w:bCs/>
          <w:color w:val="425563"/>
          <w:spacing w:val="0"/>
          <w:sz w:val="22"/>
          <w:szCs w:val="22"/>
          <w:lang w:val="pl-PL"/>
        </w:rPr>
      </w:pPr>
    </w:p>
    <w:p w14:paraId="09B7F14A" w14:textId="70B06BBD" w:rsidR="00ED14F5" w:rsidRPr="00777887" w:rsidRDefault="00ED14F5" w:rsidP="00B038F9">
      <w:pPr>
        <w:suppressAutoHyphens/>
        <w:spacing w:after="0" w:line="240" w:lineRule="auto"/>
        <w:rPr>
          <w:rFonts w:asciiTheme="minorHAnsi" w:hAnsiTheme="minorHAnsi" w:cs="Calibri"/>
          <w:b/>
          <w:bCs/>
          <w:color w:val="425563"/>
          <w:spacing w:val="0"/>
          <w:sz w:val="22"/>
          <w:szCs w:val="22"/>
          <w:lang w:val="pl-PL"/>
        </w:rPr>
      </w:pPr>
    </w:p>
    <w:p w14:paraId="1FCDC74B" w14:textId="66E3F3F0" w:rsidR="00ED14F5" w:rsidRPr="00777887" w:rsidRDefault="00ED14F5" w:rsidP="00B038F9">
      <w:pPr>
        <w:suppressAutoHyphens/>
        <w:spacing w:after="0" w:line="240" w:lineRule="auto"/>
        <w:rPr>
          <w:rFonts w:asciiTheme="minorHAnsi" w:hAnsiTheme="minorHAnsi" w:cs="Calibri"/>
          <w:b/>
          <w:bCs/>
          <w:color w:val="425563"/>
          <w:spacing w:val="0"/>
          <w:sz w:val="22"/>
          <w:szCs w:val="22"/>
          <w:lang w:val="pl-PL"/>
        </w:rPr>
      </w:pPr>
    </w:p>
    <w:p w14:paraId="278CCE62" w14:textId="296FE2C5" w:rsidR="002A2815" w:rsidRPr="00777887" w:rsidRDefault="002A2815" w:rsidP="001416E0">
      <w:pPr>
        <w:suppressAutoHyphens/>
        <w:spacing w:line="240" w:lineRule="auto"/>
        <w:rPr>
          <w:b/>
          <w:bCs/>
          <w:color w:val="70AD47" w:themeColor="accent6"/>
          <w:sz w:val="24"/>
          <w:szCs w:val="24"/>
          <w:lang w:val="pl-PL"/>
        </w:rPr>
      </w:pPr>
    </w:p>
    <w:p w14:paraId="445B6061" w14:textId="008D47A7" w:rsidR="00A83D97" w:rsidRPr="00777887" w:rsidRDefault="00A83D97" w:rsidP="001416E0">
      <w:pPr>
        <w:suppressAutoHyphens/>
        <w:spacing w:line="240" w:lineRule="auto"/>
        <w:rPr>
          <w:b/>
          <w:bCs/>
          <w:color w:val="70AD47" w:themeColor="accent6"/>
          <w:sz w:val="24"/>
          <w:szCs w:val="24"/>
          <w:lang w:val="pl-PL"/>
        </w:rPr>
      </w:pPr>
    </w:p>
    <w:p w14:paraId="0B8D7AD0" w14:textId="77777777" w:rsidR="00777887" w:rsidRDefault="00777887" w:rsidP="00777887">
      <w:pPr>
        <w:pStyle w:val="P68B1DB1-Normal14"/>
        <w:spacing w:after="0" w:line="240" w:lineRule="auto"/>
        <w:jc w:val="left"/>
        <w:rPr>
          <w:rFonts w:asciiTheme="minorHAnsi" w:hAnsiTheme="minorHAnsi"/>
          <w:color w:val="425563"/>
          <w:lang w:val="pl"/>
        </w:rPr>
      </w:pPr>
      <w:r>
        <w:rPr>
          <w:rFonts w:asciiTheme="minorHAnsi" w:hAnsiTheme="minorHAnsi"/>
          <w:b/>
          <w:bCs/>
          <w:color w:val="425563"/>
          <w:lang w:val="pl"/>
        </w:rPr>
        <w:t>Załącznik 1.</w:t>
      </w:r>
      <w:r>
        <w:rPr>
          <w:rFonts w:asciiTheme="minorHAnsi" w:hAnsiTheme="minorHAnsi"/>
          <w:b/>
          <w:bCs/>
          <w:lang w:val="pl"/>
        </w:rPr>
        <w:t xml:space="preserve"> </w:t>
      </w:r>
      <w:r>
        <w:rPr>
          <w:rFonts w:asciiTheme="minorHAnsi" w:hAnsiTheme="minorHAnsi"/>
          <w:color w:val="425563"/>
          <w:lang w:val="pl"/>
        </w:rPr>
        <w:t>Rachunek zysków i strat oraz bilans (MSSF 16)</w:t>
      </w:r>
    </w:p>
    <w:p w14:paraId="4DAD3F46" w14:textId="77777777" w:rsidR="00777887" w:rsidRPr="009A324D" w:rsidRDefault="00777887" w:rsidP="00777887">
      <w:pPr>
        <w:pStyle w:val="P68B1DB1-Normal14"/>
        <w:spacing w:after="0" w:line="240" w:lineRule="auto"/>
        <w:jc w:val="left"/>
        <w:rPr>
          <w:rFonts w:asciiTheme="minorHAnsi" w:hAnsiTheme="minorHAnsi" w:cs="Calibri"/>
          <w:color w:val="425563"/>
          <w:lang w:val="pl-PL"/>
        </w:rPr>
      </w:pPr>
    </w:p>
    <w:p w14:paraId="0A6145BD" w14:textId="77777777" w:rsidR="00777887" w:rsidRPr="00CA2FCE" w:rsidRDefault="00777887" w:rsidP="00777887">
      <w:pPr>
        <w:suppressAutoHyphens/>
        <w:spacing w:after="0" w:line="240" w:lineRule="auto"/>
        <w:jc w:val="center"/>
        <w:rPr>
          <w:noProof/>
          <w:sz w:val="16"/>
          <w:szCs w:val="16"/>
          <w:lang w:val="pl-PL"/>
        </w:rPr>
      </w:pPr>
      <w:r>
        <w:rPr>
          <w:noProof/>
          <w:sz w:val="16"/>
          <w:szCs w:val="16"/>
          <w:lang w:val="pl-PL"/>
        </w:rPr>
        <w:drawing>
          <wp:inline distT="0" distB="0" distL="0" distR="0" wp14:anchorId="7692F026" wp14:editId="7E13CC46">
            <wp:extent cx="5530850" cy="28257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D06F3" w14:textId="77777777" w:rsidR="00777887" w:rsidRDefault="00777887" w:rsidP="00777887">
      <w:pPr>
        <w:suppressAutoHyphens/>
        <w:spacing w:after="0" w:line="240" w:lineRule="auto"/>
        <w:ind w:right="113"/>
        <w:jc w:val="left"/>
        <w:rPr>
          <w:noProof/>
          <w:sz w:val="16"/>
          <w:szCs w:val="16"/>
        </w:rPr>
      </w:pPr>
    </w:p>
    <w:p w14:paraId="7EC08751" w14:textId="77777777" w:rsidR="00777887" w:rsidRPr="001319C8" w:rsidRDefault="00777887" w:rsidP="00777887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ind w:left="1134" w:right="1247"/>
        <w:jc w:val="left"/>
        <w:rPr>
          <w:rFonts w:asciiTheme="minorHAnsi" w:hAnsiTheme="minorHAnsi"/>
          <w:color w:val="425563"/>
          <w:spacing w:val="-6"/>
          <w:sz w:val="14"/>
          <w:szCs w:val="14"/>
          <w:lang w:val="pl-PL"/>
        </w:rPr>
      </w:pPr>
      <w:r w:rsidRPr="001319C8">
        <w:rPr>
          <w:rFonts w:asciiTheme="minorHAnsi" w:hAnsiTheme="minorHAnsi"/>
          <w:color w:val="425563"/>
          <w:sz w:val="14"/>
          <w:szCs w:val="14"/>
          <w:lang w:val="pl-PL"/>
        </w:rPr>
        <w:lastRenderedPageBreak/>
        <w:t xml:space="preserve">   </w:t>
      </w:r>
      <w:r>
        <w:rPr>
          <w:rFonts w:asciiTheme="minorHAnsi" w:hAnsiTheme="minorHAnsi"/>
          <w:noProof/>
        </w:rPr>
        <w:drawing>
          <wp:inline distT="0" distB="0" distL="0" distR="0" wp14:anchorId="58909DFA" wp14:editId="3F096619">
            <wp:extent cx="3321050" cy="3022600"/>
            <wp:effectExtent l="0" t="0" r="0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435F9" w14:textId="77777777" w:rsidR="00777887" w:rsidRPr="001319C8" w:rsidRDefault="00777887" w:rsidP="00777887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ind w:left="1134" w:right="1247"/>
        <w:jc w:val="center"/>
        <w:rPr>
          <w:rFonts w:asciiTheme="minorHAnsi" w:hAnsiTheme="minorHAnsi"/>
          <w:color w:val="425563"/>
          <w:spacing w:val="-6"/>
          <w:sz w:val="8"/>
          <w:szCs w:val="8"/>
          <w:lang w:val="pl-PL"/>
        </w:rPr>
      </w:pPr>
    </w:p>
    <w:p w14:paraId="11675B90" w14:textId="77777777" w:rsidR="00777887" w:rsidRPr="009A324D" w:rsidRDefault="00777887" w:rsidP="00777887">
      <w:pPr>
        <w:suppressAutoHyphens/>
        <w:spacing w:after="0" w:line="240" w:lineRule="auto"/>
        <w:ind w:left="709" w:right="113"/>
        <w:jc w:val="left"/>
        <w:rPr>
          <w:rFonts w:asciiTheme="minorHAnsi" w:hAnsiTheme="minorHAnsi"/>
          <w:color w:val="425563"/>
          <w:sz w:val="12"/>
          <w:lang w:val="pl-PL"/>
        </w:rPr>
      </w:pPr>
      <w:r>
        <w:rPr>
          <w:rFonts w:asciiTheme="minorHAnsi" w:hAnsiTheme="minorHAnsi"/>
          <w:color w:val="425563"/>
          <w:sz w:val="12"/>
          <w:lang w:val="pl"/>
        </w:rPr>
        <w:t>(1) Zawiera „Pochodne instrumenty finansowe”, „Należności z tytułu dostaw i usług oraz pozostałe należności” oraz „Aktywa z tytułu odroczonego podatku dochodowego”. Zob. skrócone śródroczne skonsolidowane sprawozdanie finansowe za okres zakończony w dniu 30 czerwca 2023 roku.</w:t>
      </w:r>
    </w:p>
    <w:p w14:paraId="45306F71" w14:textId="77777777" w:rsidR="00777887" w:rsidRPr="009A324D" w:rsidRDefault="00777887" w:rsidP="00777887">
      <w:pPr>
        <w:suppressAutoHyphens/>
        <w:spacing w:after="0" w:line="240" w:lineRule="auto"/>
        <w:ind w:left="709" w:right="113"/>
        <w:jc w:val="left"/>
        <w:rPr>
          <w:rFonts w:asciiTheme="minorHAnsi" w:hAnsiTheme="minorHAnsi"/>
          <w:color w:val="425563"/>
          <w:sz w:val="12"/>
          <w:lang w:val="pl-PL"/>
        </w:rPr>
      </w:pPr>
      <w:r>
        <w:rPr>
          <w:rFonts w:asciiTheme="minorHAnsi" w:hAnsiTheme="minorHAnsi"/>
          <w:color w:val="425563"/>
          <w:sz w:val="12"/>
          <w:lang w:val="pl"/>
        </w:rPr>
        <w:t>(2) Zawiera „Należności od jednostek powiązanych” oraz „Inwestycje finansowe”.  Zob. skrócone śródroczne skonsolidowane sprawozdanie finansowe za okres zakończony w dniu 30 30 czerwca 2023 roku.</w:t>
      </w:r>
    </w:p>
    <w:p w14:paraId="6E300A81" w14:textId="77777777" w:rsidR="00777887" w:rsidRPr="009A324D" w:rsidRDefault="00777887" w:rsidP="00777887">
      <w:pPr>
        <w:suppressAutoHyphens/>
        <w:spacing w:after="0" w:line="240" w:lineRule="auto"/>
        <w:ind w:left="709" w:right="113"/>
        <w:jc w:val="left"/>
        <w:rPr>
          <w:rFonts w:asciiTheme="minorHAnsi" w:hAnsiTheme="minorHAnsi"/>
          <w:color w:val="425563"/>
          <w:sz w:val="12"/>
          <w:lang w:val="pl-PL"/>
        </w:rPr>
      </w:pPr>
      <w:r>
        <w:rPr>
          <w:rFonts w:asciiTheme="minorHAnsi" w:hAnsiTheme="minorHAnsi"/>
          <w:color w:val="425563"/>
          <w:sz w:val="12"/>
          <w:lang w:val="pl"/>
        </w:rPr>
        <w:t>(3) Zawiera „Rezerwy i inne zobowiązania”, „Zobowiązania z tytułu świadczeń pracowniczych”, „Zobowiązania z tytułu podatku odroczonego”, „Pochodne instrumenty finansowe” oraz „Inne zobowiązania finansowe”. Zob. skrócone śródroczne skonsolidowane sprawozdanie finansowe za okres zakończony w dniu 30 czerwca 2023 roku.</w:t>
      </w:r>
      <w:r>
        <w:rPr>
          <w:rFonts w:asciiTheme="minorHAnsi" w:hAnsiTheme="minorHAnsi"/>
          <w:color w:val="425563"/>
          <w:sz w:val="12"/>
          <w:lang w:val="pl"/>
        </w:rPr>
        <w:tab/>
      </w:r>
      <w:r>
        <w:rPr>
          <w:rFonts w:asciiTheme="minorHAnsi" w:hAnsiTheme="minorHAnsi"/>
          <w:color w:val="425563"/>
          <w:sz w:val="12"/>
          <w:lang w:val="pl"/>
        </w:rPr>
        <w:tab/>
      </w:r>
      <w:r>
        <w:rPr>
          <w:rFonts w:asciiTheme="minorHAnsi" w:hAnsiTheme="minorHAnsi"/>
          <w:color w:val="425563"/>
          <w:sz w:val="12"/>
          <w:lang w:val="pl"/>
        </w:rPr>
        <w:tab/>
      </w:r>
      <w:r>
        <w:rPr>
          <w:rFonts w:asciiTheme="minorHAnsi" w:hAnsiTheme="minorHAnsi"/>
          <w:color w:val="425563"/>
          <w:sz w:val="12"/>
          <w:lang w:val="pl"/>
        </w:rPr>
        <w:tab/>
      </w:r>
      <w:r>
        <w:rPr>
          <w:rFonts w:asciiTheme="minorHAnsi" w:hAnsiTheme="minorHAnsi"/>
          <w:color w:val="425563"/>
          <w:sz w:val="12"/>
          <w:lang w:val="pl"/>
        </w:rPr>
        <w:tab/>
      </w:r>
    </w:p>
    <w:p w14:paraId="440FE981" w14:textId="77777777" w:rsidR="00777887" w:rsidRPr="009A324D" w:rsidRDefault="00777887" w:rsidP="00777887">
      <w:pPr>
        <w:suppressAutoHyphens/>
        <w:spacing w:after="0" w:line="240" w:lineRule="auto"/>
        <w:ind w:left="709" w:right="113"/>
        <w:jc w:val="left"/>
        <w:rPr>
          <w:rFonts w:asciiTheme="minorHAnsi" w:hAnsiTheme="minorHAnsi"/>
          <w:color w:val="425563"/>
          <w:sz w:val="12"/>
          <w:lang w:val="pl-PL"/>
        </w:rPr>
      </w:pPr>
      <w:r>
        <w:rPr>
          <w:rFonts w:asciiTheme="minorHAnsi" w:hAnsiTheme="minorHAnsi"/>
          <w:color w:val="425563"/>
          <w:sz w:val="12"/>
          <w:lang w:val="pl"/>
        </w:rPr>
        <w:t>(4) Zawiera „Zobowiązania z tytułu świadczeń pracowniczych”, „Zobowiązania na rzecz jednostek powiązanych”, „Zobowiązania z tytułu dostaw i usług oraz pozostałe zobowiązania”, „Pochodne instrumenty finansowe” oraz „Inne zobowiązania finansowe”.  Zob. skrócone śródroczne skonsolidowane sprawozdanie finansowe za okres zakończony w dniu 30 czerwca 2023 roku.</w:t>
      </w:r>
    </w:p>
    <w:p w14:paraId="317DD068" w14:textId="77777777" w:rsidR="00777887" w:rsidRPr="001319C8" w:rsidRDefault="00777887" w:rsidP="00777887">
      <w:pPr>
        <w:suppressAutoHyphens/>
        <w:spacing w:after="0" w:line="240" w:lineRule="auto"/>
        <w:ind w:left="567"/>
        <w:jc w:val="left"/>
        <w:rPr>
          <w:rFonts w:asciiTheme="minorHAnsi" w:hAnsiTheme="minorHAnsi"/>
          <w:color w:val="425563"/>
          <w:sz w:val="12"/>
          <w:szCs w:val="12"/>
          <w:lang w:val="pl-PL"/>
        </w:rPr>
      </w:pPr>
      <w:r w:rsidRPr="001319C8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1319C8">
        <w:rPr>
          <w:rFonts w:asciiTheme="minorHAnsi" w:hAnsiTheme="minorHAnsi"/>
          <w:color w:val="425563"/>
          <w:sz w:val="12"/>
          <w:szCs w:val="12"/>
          <w:lang w:val="pl-PL"/>
        </w:rPr>
        <w:tab/>
      </w:r>
    </w:p>
    <w:p w14:paraId="42B0F7C1" w14:textId="77777777" w:rsidR="00777887" w:rsidRPr="00777887" w:rsidRDefault="00777887" w:rsidP="00777887">
      <w:pPr>
        <w:suppressAutoHyphens/>
        <w:spacing w:after="0" w:line="240" w:lineRule="auto"/>
        <w:ind w:left="567"/>
        <w:jc w:val="left"/>
        <w:rPr>
          <w:rFonts w:asciiTheme="minorHAnsi" w:hAnsiTheme="minorHAnsi"/>
          <w:color w:val="425563"/>
          <w:sz w:val="12"/>
          <w:szCs w:val="12"/>
          <w:lang w:val="pl-PL"/>
        </w:rPr>
      </w:pP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  <w:r w:rsidRPr="00777887">
        <w:rPr>
          <w:rFonts w:asciiTheme="minorHAnsi" w:hAnsiTheme="minorHAnsi"/>
          <w:color w:val="425563"/>
          <w:sz w:val="12"/>
          <w:szCs w:val="12"/>
          <w:lang w:val="pl-PL"/>
        </w:rPr>
        <w:tab/>
      </w:r>
    </w:p>
    <w:p w14:paraId="1A1D7604" w14:textId="77777777" w:rsidR="00777887" w:rsidRPr="00777887" w:rsidRDefault="00777887" w:rsidP="00777887">
      <w:pPr>
        <w:suppressAutoHyphens/>
        <w:spacing w:after="0" w:line="240" w:lineRule="auto"/>
        <w:jc w:val="left"/>
        <w:rPr>
          <w:b/>
          <w:bCs/>
          <w:color w:val="425563"/>
          <w:sz w:val="28"/>
          <w:szCs w:val="28"/>
          <w:u w:val="single"/>
          <w:lang w:val="pl-PL"/>
        </w:rPr>
      </w:pPr>
    </w:p>
    <w:p w14:paraId="77453531" w14:textId="77777777" w:rsidR="00777887" w:rsidRPr="0039598A" w:rsidRDefault="00777887" w:rsidP="00777887">
      <w:pPr>
        <w:suppressAutoHyphens/>
        <w:spacing w:after="0" w:line="240" w:lineRule="auto"/>
        <w:jc w:val="left"/>
        <w:rPr>
          <w:rFonts w:asciiTheme="minorHAnsi" w:hAnsiTheme="minorHAnsi" w:cs="Verdana-BoldItalic"/>
          <w:b/>
          <w:bCs/>
          <w:color w:val="808080" w:themeColor="background1" w:themeShade="80"/>
          <w:sz w:val="28"/>
          <w:szCs w:val="28"/>
          <w:u w:val="single"/>
          <w:lang w:val="pl-PL"/>
        </w:rPr>
      </w:pPr>
      <w:r w:rsidRPr="004B6483">
        <w:rPr>
          <w:b/>
          <w:bCs/>
          <w:color w:val="425563"/>
          <w:sz w:val="28"/>
          <w:szCs w:val="28"/>
          <w:u w:val="single"/>
          <w:lang w:val="pl"/>
        </w:rPr>
        <w:t>Załącznik 2.</w:t>
      </w:r>
      <w:r w:rsidRPr="004B6483">
        <w:rPr>
          <w:sz w:val="28"/>
          <w:szCs w:val="28"/>
          <w:u w:val="single"/>
          <w:lang w:val="pl"/>
        </w:rPr>
        <w:t xml:space="preserve"> </w:t>
      </w:r>
      <w:r w:rsidRPr="004B6483">
        <w:rPr>
          <w:color w:val="425563"/>
          <w:sz w:val="28"/>
          <w:szCs w:val="28"/>
          <w:u w:val="single"/>
          <w:lang w:val="pl"/>
        </w:rPr>
        <w:t>Znaczące wydarzenia w roku 2023</w:t>
      </w:r>
    </w:p>
    <w:p w14:paraId="35168C6B" w14:textId="77777777" w:rsidR="00777887" w:rsidRPr="0039598A" w:rsidRDefault="00777887" w:rsidP="00777887">
      <w:pPr>
        <w:suppressAutoHyphens/>
        <w:spacing w:after="0" w:line="240" w:lineRule="auto"/>
        <w:jc w:val="left"/>
        <w:rPr>
          <w:rFonts w:asciiTheme="minorHAnsi" w:hAnsiTheme="minorHAnsi" w:cs="Verdana-Bold"/>
          <w:b/>
          <w:bCs/>
          <w:color w:val="425563"/>
          <w:sz w:val="22"/>
          <w:szCs w:val="22"/>
          <w:u w:val="single"/>
          <w:lang w:val="pl-PL"/>
        </w:rPr>
      </w:pPr>
    </w:p>
    <w:p w14:paraId="3D15A2D6" w14:textId="77777777" w:rsidR="00777887" w:rsidRPr="004B6483" w:rsidRDefault="00777887" w:rsidP="00777887">
      <w:pPr>
        <w:suppressAutoHyphens/>
        <w:spacing w:after="0" w:line="240" w:lineRule="auto"/>
        <w:jc w:val="left"/>
        <w:rPr>
          <w:rFonts w:asciiTheme="minorHAnsi" w:hAnsiTheme="minorHAnsi" w:cs="Verdana-Bold"/>
          <w:b/>
          <w:bCs/>
          <w:color w:val="425563"/>
          <w:sz w:val="22"/>
          <w:szCs w:val="22"/>
          <w:u w:val="single"/>
        </w:rPr>
      </w:pPr>
      <w:r w:rsidRPr="004B6483">
        <w:rPr>
          <w:rFonts w:cs="Verdana-Bold"/>
          <w:b/>
          <w:bCs/>
          <w:color w:val="425563"/>
          <w:sz w:val="22"/>
          <w:szCs w:val="22"/>
          <w:u w:val="single"/>
          <w:lang w:val="pl"/>
        </w:rPr>
        <w:t>Styczeń</w:t>
      </w:r>
    </w:p>
    <w:p w14:paraId="0214CDE7" w14:textId="77777777" w:rsidR="00777887" w:rsidRPr="004B6483" w:rsidRDefault="00777887" w:rsidP="00777887">
      <w:pPr>
        <w:suppressAutoHyphens/>
        <w:spacing w:after="0" w:line="240" w:lineRule="auto"/>
        <w:jc w:val="left"/>
        <w:rPr>
          <w:rFonts w:asciiTheme="minorHAnsi" w:hAnsiTheme="minorHAnsi" w:cs="Verdana-Bold"/>
          <w:b/>
          <w:bCs/>
          <w:color w:val="425563"/>
          <w:sz w:val="16"/>
          <w:szCs w:val="16"/>
          <w:u w:val="single"/>
        </w:rPr>
      </w:pPr>
    </w:p>
    <w:p w14:paraId="732BC871" w14:textId="77777777" w:rsidR="00777887" w:rsidRPr="0039598A" w:rsidRDefault="00777887" w:rsidP="00777887">
      <w:pPr>
        <w:pStyle w:val="Akapitzlist"/>
        <w:numPr>
          <w:ilvl w:val="0"/>
          <w:numId w:val="19"/>
        </w:numPr>
        <w:suppressAutoHyphens/>
        <w:spacing w:after="0"/>
        <w:ind w:left="714" w:hanging="357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10 stycznia</w:t>
      </w:r>
      <w:r w:rsidRPr="004B6483">
        <w:rPr>
          <w:rFonts w:cs="Verdana-Bold"/>
          <w:color w:val="425563"/>
          <w:lang w:val="pl"/>
        </w:rPr>
        <w:t xml:space="preserve"> Three UK przyłącza się do projektu łączności wdrażanego przez Cellnex UK na linii kolejowej </w:t>
      </w:r>
      <w:proofErr w:type="spellStart"/>
      <w:r w:rsidRPr="004B6483">
        <w:rPr>
          <w:rFonts w:cs="Verdana-Bold"/>
          <w:color w:val="425563"/>
          <w:lang w:val="pl"/>
        </w:rPr>
        <w:t>Brighton</w:t>
      </w:r>
      <w:proofErr w:type="spellEnd"/>
      <w:r w:rsidRPr="004B6483">
        <w:rPr>
          <w:rFonts w:cs="Verdana-Bold"/>
          <w:color w:val="425563"/>
          <w:lang w:val="pl"/>
        </w:rPr>
        <w:t xml:space="preserve"> </w:t>
      </w:r>
      <w:proofErr w:type="spellStart"/>
      <w:r w:rsidRPr="004B6483">
        <w:rPr>
          <w:rFonts w:cs="Verdana-Bold"/>
          <w:color w:val="425563"/>
          <w:lang w:val="pl"/>
        </w:rPr>
        <w:t>Mainline</w:t>
      </w:r>
      <w:proofErr w:type="spellEnd"/>
      <w:r w:rsidRPr="004B6483">
        <w:rPr>
          <w:rFonts w:cs="Verdana-Bold"/>
          <w:color w:val="425563"/>
          <w:lang w:val="pl"/>
        </w:rPr>
        <w:t xml:space="preserve"> łączącej Londyn i </w:t>
      </w:r>
      <w:proofErr w:type="spellStart"/>
      <w:r w:rsidRPr="004B6483">
        <w:rPr>
          <w:rFonts w:cs="Verdana-Bold"/>
          <w:color w:val="425563"/>
          <w:lang w:val="pl"/>
        </w:rPr>
        <w:t>Brighton</w:t>
      </w:r>
      <w:proofErr w:type="spellEnd"/>
      <w:r w:rsidRPr="004B6483">
        <w:rPr>
          <w:rFonts w:cs="Verdana-Bold"/>
          <w:color w:val="425563"/>
          <w:lang w:val="pl"/>
        </w:rPr>
        <w:t xml:space="preserve"> w Wielkiej Brytanii.</w:t>
      </w:r>
    </w:p>
    <w:p w14:paraId="71B599BA" w14:textId="77777777" w:rsidR="00777887" w:rsidRPr="0039598A" w:rsidRDefault="00777887" w:rsidP="00777887">
      <w:pPr>
        <w:pStyle w:val="Akapitzlist"/>
        <w:numPr>
          <w:ilvl w:val="0"/>
          <w:numId w:val="19"/>
        </w:numPr>
        <w:suppressAutoHyphens/>
        <w:spacing w:after="0"/>
        <w:ind w:left="714" w:hanging="357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11 stycznia</w:t>
      </w:r>
      <w:r w:rsidRPr="004B6483">
        <w:rPr>
          <w:rFonts w:cs="Verdana-Bold"/>
          <w:color w:val="425563"/>
          <w:lang w:val="pl"/>
        </w:rPr>
        <w:t xml:space="preserve"> Tobias Martinez składa rezygnację ze stanowiska Dyrektora wykonawczego spółki. Ustąpi on ze stanowiska Dyrektora wykonawczego po Walnym zgromadzeniu akcjonariuszy Grupy zaplanowanym na czerwiec 2023 r.</w:t>
      </w:r>
    </w:p>
    <w:p w14:paraId="5ED75D18" w14:textId="77777777" w:rsidR="00777887" w:rsidRPr="0039598A" w:rsidRDefault="00777887" w:rsidP="00777887">
      <w:pPr>
        <w:pStyle w:val="Akapitzlist"/>
        <w:numPr>
          <w:ilvl w:val="0"/>
          <w:numId w:val="19"/>
        </w:numPr>
        <w:suppressAutoHyphens/>
        <w:spacing w:after="0"/>
        <w:ind w:left="714" w:hanging="357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12 stycznia</w:t>
      </w:r>
      <w:r w:rsidRPr="004B6483">
        <w:rPr>
          <w:rFonts w:cs="Verdana-Bold"/>
          <w:color w:val="425563"/>
          <w:lang w:val="pl"/>
        </w:rPr>
        <w:t xml:space="preserve"> </w:t>
      </w:r>
      <w:proofErr w:type="spellStart"/>
      <w:r w:rsidRPr="004B6483">
        <w:rPr>
          <w:rFonts w:cs="Verdana-Bold"/>
          <w:color w:val="425563"/>
          <w:lang w:val="pl"/>
        </w:rPr>
        <w:t>Vapor</w:t>
      </w:r>
      <w:proofErr w:type="spellEnd"/>
      <w:r w:rsidRPr="004B6483">
        <w:rPr>
          <w:rFonts w:cs="Verdana-Bold"/>
          <w:color w:val="425563"/>
          <w:lang w:val="pl"/>
        </w:rPr>
        <w:t xml:space="preserve"> IO rozszerza swoją sieć przetwarzania brzegowego na Europę za pośrednictwem Cellnex. </w:t>
      </w:r>
    </w:p>
    <w:p w14:paraId="071B4A8C" w14:textId="77777777" w:rsidR="00777887" w:rsidRPr="0039598A" w:rsidRDefault="00777887" w:rsidP="00777887">
      <w:pPr>
        <w:pStyle w:val="Akapitzlist"/>
        <w:numPr>
          <w:ilvl w:val="0"/>
          <w:numId w:val="19"/>
        </w:numPr>
        <w:suppressAutoHyphens/>
        <w:spacing w:after="0"/>
        <w:ind w:left="714" w:hanging="357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 xml:space="preserve">16 stycznia </w:t>
      </w:r>
      <w:r w:rsidRPr="004B6483">
        <w:rPr>
          <w:rFonts w:cs="Verdana-Bold"/>
          <w:color w:val="425563"/>
          <w:lang w:val="pl"/>
        </w:rPr>
        <w:t xml:space="preserve">Cellnex udostępnia wewnętrzną łączność bezprzewodową w placówkach The </w:t>
      </w:r>
      <w:proofErr w:type="spellStart"/>
      <w:r w:rsidRPr="004B6483">
        <w:rPr>
          <w:rFonts w:cs="Verdana-Bold"/>
          <w:color w:val="425563"/>
          <w:lang w:val="pl"/>
        </w:rPr>
        <w:t>Social</w:t>
      </w:r>
      <w:proofErr w:type="spellEnd"/>
      <w:r w:rsidRPr="004B6483">
        <w:rPr>
          <w:rFonts w:cs="Verdana-Bold"/>
          <w:color w:val="425563"/>
          <w:lang w:val="pl"/>
        </w:rPr>
        <w:t xml:space="preserve"> Hub w Holandii i Austrii.</w:t>
      </w:r>
    </w:p>
    <w:p w14:paraId="3D0794C2" w14:textId="77777777" w:rsidR="00777887" w:rsidRPr="0039598A" w:rsidRDefault="00777887" w:rsidP="00777887">
      <w:pPr>
        <w:pStyle w:val="Akapitzlist"/>
        <w:numPr>
          <w:ilvl w:val="0"/>
          <w:numId w:val="19"/>
        </w:numPr>
        <w:suppressAutoHyphens/>
        <w:spacing w:after="0"/>
        <w:ind w:left="714" w:hanging="357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18 stycznia</w:t>
      </w:r>
      <w:r w:rsidRPr="004B6483">
        <w:rPr>
          <w:rFonts w:cs="Verdana-Bold"/>
          <w:color w:val="425563"/>
          <w:lang w:val="pl"/>
        </w:rPr>
        <w:t xml:space="preserve"> RTVE przyznaje spółce Cellnex prawa do transmisji swoich sygnałów radiowych i telewizyjnych na następne pięć lat.</w:t>
      </w:r>
    </w:p>
    <w:p w14:paraId="66E29D48" w14:textId="77777777" w:rsidR="00777887" w:rsidRPr="0039598A" w:rsidRDefault="00777887" w:rsidP="00777887">
      <w:pPr>
        <w:pStyle w:val="Akapitzlist"/>
        <w:numPr>
          <w:ilvl w:val="0"/>
          <w:numId w:val="19"/>
        </w:numPr>
        <w:suppressAutoHyphens/>
        <w:spacing w:after="0"/>
        <w:ind w:left="714" w:hanging="357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19 stycznia</w:t>
      </w:r>
      <w:r w:rsidRPr="004B6483">
        <w:rPr>
          <w:rFonts w:cs="Verdana-Bold"/>
          <w:color w:val="425563"/>
          <w:lang w:val="pl"/>
        </w:rPr>
        <w:t xml:space="preserve"> Cellnex i Nokia uruchamiają sieć 5G w centrach logistycznych ADIF.</w:t>
      </w:r>
    </w:p>
    <w:p w14:paraId="1EB8C5F3" w14:textId="77777777" w:rsidR="00777887" w:rsidRPr="0039598A" w:rsidRDefault="00777887" w:rsidP="00777887">
      <w:pPr>
        <w:pStyle w:val="Akapitzlist"/>
        <w:numPr>
          <w:ilvl w:val="0"/>
          <w:numId w:val="19"/>
        </w:numPr>
        <w:suppressAutoHyphens/>
        <w:spacing w:after="0"/>
        <w:ind w:left="714" w:hanging="357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 xml:space="preserve">24 stycznia </w:t>
      </w:r>
      <w:r w:rsidRPr="004B6483">
        <w:rPr>
          <w:rFonts w:cs="Verdana-Bold"/>
          <w:color w:val="425563"/>
          <w:lang w:val="pl"/>
        </w:rPr>
        <w:t xml:space="preserve">spółka Deutsche Telekom (DT) szósty rok z rzędu przyznaje spółce Cellnex status „Usługodawcy bez przestojów” (Zero </w:t>
      </w:r>
      <w:proofErr w:type="spellStart"/>
      <w:r w:rsidRPr="004B6483">
        <w:rPr>
          <w:rFonts w:cs="Verdana-Bold"/>
          <w:color w:val="425563"/>
          <w:lang w:val="pl"/>
        </w:rPr>
        <w:t>Outage</w:t>
      </w:r>
      <w:proofErr w:type="spellEnd"/>
      <w:r w:rsidRPr="004B6483">
        <w:rPr>
          <w:rFonts w:cs="Verdana-Bold"/>
          <w:color w:val="425563"/>
          <w:lang w:val="pl"/>
        </w:rPr>
        <w:t xml:space="preserve"> Supplier).</w:t>
      </w:r>
    </w:p>
    <w:p w14:paraId="318EB93F" w14:textId="77777777" w:rsidR="00777887" w:rsidRPr="0039598A" w:rsidRDefault="00777887" w:rsidP="00777887">
      <w:pPr>
        <w:pStyle w:val="Akapitzlist"/>
        <w:numPr>
          <w:ilvl w:val="0"/>
          <w:numId w:val="19"/>
        </w:numPr>
        <w:suppressAutoHyphens/>
        <w:spacing w:after="0"/>
        <w:ind w:left="714" w:hanging="357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31 stycznia</w:t>
      </w:r>
      <w:r w:rsidRPr="004B6483">
        <w:rPr>
          <w:rFonts w:cs="Verdana-Bold"/>
          <w:color w:val="425563"/>
          <w:lang w:val="pl"/>
        </w:rPr>
        <w:t xml:space="preserve"> spółka Cellnex zostaje włączona do indeksu równouprawnienia płci (</w:t>
      </w:r>
      <w:proofErr w:type="spellStart"/>
      <w:r w:rsidRPr="004B6483">
        <w:rPr>
          <w:rFonts w:cs="Verdana-Bold"/>
          <w:color w:val="425563"/>
          <w:lang w:val="pl"/>
        </w:rPr>
        <w:t>Gender</w:t>
      </w:r>
      <w:proofErr w:type="spellEnd"/>
      <w:r w:rsidRPr="004B6483">
        <w:rPr>
          <w:rFonts w:cs="Verdana-Bold"/>
          <w:color w:val="425563"/>
          <w:lang w:val="pl"/>
        </w:rPr>
        <w:t xml:space="preserve"> </w:t>
      </w:r>
      <w:proofErr w:type="spellStart"/>
      <w:r w:rsidRPr="004B6483">
        <w:rPr>
          <w:rFonts w:cs="Verdana-Bold"/>
          <w:color w:val="425563"/>
          <w:lang w:val="pl"/>
        </w:rPr>
        <w:t>Equality</w:t>
      </w:r>
      <w:proofErr w:type="spellEnd"/>
      <w:r w:rsidRPr="004B6483">
        <w:rPr>
          <w:rFonts w:cs="Verdana-Bold"/>
          <w:color w:val="425563"/>
          <w:lang w:val="pl"/>
        </w:rPr>
        <w:t xml:space="preserve"> Index) spółki Bloomberg drugi rok z rzędu.</w:t>
      </w:r>
    </w:p>
    <w:p w14:paraId="4B6561AE" w14:textId="77777777" w:rsidR="00777887" w:rsidRPr="0039598A" w:rsidRDefault="00777887" w:rsidP="00777887">
      <w:pPr>
        <w:suppressAutoHyphens/>
        <w:spacing w:after="0" w:line="240" w:lineRule="auto"/>
        <w:jc w:val="left"/>
        <w:rPr>
          <w:rFonts w:asciiTheme="minorHAnsi" w:hAnsiTheme="minorHAnsi" w:cs="Verdana-Bold"/>
          <w:b/>
          <w:bCs/>
          <w:color w:val="425563"/>
          <w:sz w:val="22"/>
          <w:szCs w:val="22"/>
          <w:u w:val="single"/>
          <w:lang w:val="pl-PL"/>
        </w:rPr>
      </w:pPr>
    </w:p>
    <w:p w14:paraId="0B61281B" w14:textId="77777777" w:rsidR="00777887" w:rsidRPr="004B6483" w:rsidRDefault="00777887" w:rsidP="00777887">
      <w:pPr>
        <w:suppressAutoHyphens/>
        <w:spacing w:after="0" w:line="240" w:lineRule="auto"/>
        <w:jc w:val="left"/>
        <w:rPr>
          <w:rFonts w:asciiTheme="minorHAnsi" w:hAnsiTheme="minorHAnsi" w:cs="Verdana-Bold"/>
          <w:b/>
          <w:bCs/>
          <w:color w:val="425563"/>
          <w:sz w:val="22"/>
          <w:szCs w:val="22"/>
          <w:u w:val="single"/>
        </w:rPr>
      </w:pPr>
      <w:r w:rsidRPr="004B6483">
        <w:rPr>
          <w:rFonts w:cs="Verdana-Bold"/>
          <w:b/>
          <w:bCs/>
          <w:color w:val="425563"/>
          <w:sz w:val="22"/>
          <w:szCs w:val="22"/>
          <w:u w:val="single"/>
          <w:lang w:val="pl"/>
        </w:rPr>
        <w:t>Luty</w:t>
      </w:r>
    </w:p>
    <w:p w14:paraId="294C49C2" w14:textId="77777777" w:rsidR="00777887" w:rsidRPr="004B6483" w:rsidRDefault="00777887" w:rsidP="00777887">
      <w:pPr>
        <w:suppressAutoHyphens/>
        <w:spacing w:after="0" w:line="240" w:lineRule="auto"/>
        <w:jc w:val="left"/>
        <w:rPr>
          <w:rFonts w:asciiTheme="minorHAnsi" w:hAnsiTheme="minorHAnsi" w:cs="Verdana-Bold"/>
          <w:b/>
          <w:bCs/>
          <w:color w:val="425563"/>
          <w:sz w:val="16"/>
          <w:szCs w:val="16"/>
          <w:u w:val="single"/>
        </w:rPr>
      </w:pPr>
    </w:p>
    <w:p w14:paraId="6EB668EC" w14:textId="77777777" w:rsidR="00777887" w:rsidRPr="0039598A" w:rsidRDefault="00777887" w:rsidP="00777887">
      <w:pPr>
        <w:pStyle w:val="Akapitzlist"/>
        <w:numPr>
          <w:ilvl w:val="0"/>
          <w:numId w:val="19"/>
        </w:numPr>
        <w:suppressAutoHyphens/>
        <w:spacing w:after="0"/>
        <w:ind w:left="714" w:hanging="357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lastRenderedPageBreak/>
        <w:t>3 lutego</w:t>
      </w:r>
      <w:r w:rsidRPr="004B6483">
        <w:rPr>
          <w:rFonts w:cs="Verdana-Bold"/>
          <w:color w:val="425563"/>
          <w:lang w:val="pl"/>
        </w:rPr>
        <w:t xml:space="preserve"> Cellnex testuje transmisję 3G podczas targów ISE i MWC.</w:t>
      </w:r>
    </w:p>
    <w:p w14:paraId="66E41095" w14:textId="77777777" w:rsidR="00777887" w:rsidRPr="0039598A" w:rsidRDefault="00777887" w:rsidP="00777887">
      <w:pPr>
        <w:pStyle w:val="Akapitzlist"/>
        <w:numPr>
          <w:ilvl w:val="0"/>
          <w:numId w:val="19"/>
        </w:numPr>
        <w:suppressAutoHyphens/>
        <w:spacing w:after="0"/>
        <w:ind w:left="714" w:hanging="357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7 lutego</w:t>
      </w:r>
      <w:r w:rsidRPr="004B6483">
        <w:rPr>
          <w:rFonts w:cs="Verdana-Bold"/>
          <w:color w:val="425563"/>
          <w:lang w:val="pl"/>
        </w:rPr>
        <w:t xml:space="preserve"> S&amp;P Global po raz pierwszy uwzględnia spółkę Cellnex w swoim „Roczniku zrównoważonego rozwoju” (</w:t>
      </w:r>
      <w:proofErr w:type="spellStart"/>
      <w:r w:rsidRPr="004B6483">
        <w:rPr>
          <w:rFonts w:cs="Verdana-Bold"/>
          <w:color w:val="425563"/>
          <w:lang w:val="pl"/>
        </w:rPr>
        <w:t>Sustainability</w:t>
      </w:r>
      <w:proofErr w:type="spellEnd"/>
      <w:r w:rsidRPr="004B6483">
        <w:rPr>
          <w:rFonts w:cs="Verdana-Bold"/>
          <w:color w:val="425563"/>
          <w:lang w:val="pl"/>
        </w:rPr>
        <w:t xml:space="preserve"> Yearbook).</w:t>
      </w:r>
    </w:p>
    <w:p w14:paraId="565CFEDE" w14:textId="77777777" w:rsidR="00777887" w:rsidRPr="0039598A" w:rsidRDefault="00777887" w:rsidP="00777887">
      <w:pPr>
        <w:pStyle w:val="Akapitzlist"/>
        <w:numPr>
          <w:ilvl w:val="0"/>
          <w:numId w:val="19"/>
        </w:numPr>
        <w:suppressAutoHyphens/>
        <w:spacing w:after="0"/>
        <w:ind w:left="714" w:hanging="357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8 lutego</w:t>
      </w:r>
      <w:r w:rsidRPr="004B6483">
        <w:rPr>
          <w:rFonts w:cs="Verdana-Bold"/>
          <w:color w:val="425563"/>
          <w:lang w:val="pl"/>
        </w:rPr>
        <w:t xml:space="preserve"> spółka Cellnex i Uniwersytet w Dublinie (Dublin City University, DCU) nawiązują współpracę w celu stworzenia pierwszego w Irlandii „inteligentnego kampusu” 5G.</w:t>
      </w:r>
    </w:p>
    <w:p w14:paraId="48AA6337" w14:textId="77777777" w:rsidR="00777887" w:rsidRPr="0039598A" w:rsidRDefault="00777887" w:rsidP="00777887">
      <w:pPr>
        <w:pStyle w:val="Akapitzlist"/>
        <w:numPr>
          <w:ilvl w:val="0"/>
          <w:numId w:val="19"/>
        </w:numPr>
        <w:suppressAutoHyphens/>
        <w:spacing w:after="0"/>
        <w:ind w:left="714" w:hanging="357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14 lutego</w:t>
      </w:r>
      <w:r w:rsidRPr="004B6483">
        <w:rPr>
          <w:rFonts w:cs="Verdana-Bold"/>
          <w:color w:val="425563"/>
          <w:lang w:val="pl"/>
        </w:rPr>
        <w:t xml:space="preserve"> spółka Cellnex montuje system anten rozproszonych (Distributed </w:t>
      </w:r>
      <w:proofErr w:type="spellStart"/>
      <w:r w:rsidRPr="004B6483">
        <w:rPr>
          <w:rFonts w:cs="Verdana-Bold"/>
          <w:color w:val="425563"/>
          <w:lang w:val="pl"/>
        </w:rPr>
        <w:t>Antenna</w:t>
      </w:r>
      <w:proofErr w:type="spellEnd"/>
      <w:r w:rsidRPr="004B6483">
        <w:rPr>
          <w:rFonts w:cs="Verdana-Bold"/>
          <w:color w:val="425563"/>
          <w:lang w:val="pl"/>
        </w:rPr>
        <w:t xml:space="preserve"> System, DAS) na stadionie El </w:t>
      </w:r>
      <w:proofErr w:type="spellStart"/>
      <w:r w:rsidRPr="004B6483">
        <w:rPr>
          <w:rFonts w:cs="Verdana-Bold"/>
          <w:color w:val="425563"/>
          <w:lang w:val="pl"/>
        </w:rPr>
        <w:t>Sadar</w:t>
      </w:r>
      <w:proofErr w:type="spellEnd"/>
      <w:r w:rsidRPr="004B6483">
        <w:rPr>
          <w:rFonts w:cs="Verdana-Bold"/>
          <w:color w:val="425563"/>
          <w:lang w:val="pl"/>
        </w:rPr>
        <w:t xml:space="preserve"> (CA </w:t>
      </w:r>
      <w:proofErr w:type="spellStart"/>
      <w:r w:rsidRPr="004B6483">
        <w:rPr>
          <w:rFonts w:cs="Verdana-Bold"/>
          <w:color w:val="425563"/>
          <w:lang w:val="pl"/>
        </w:rPr>
        <w:t>Osasuna</w:t>
      </w:r>
      <w:proofErr w:type="spellEnd"/>
      <w:r w:rsidRPr="004B6483">
        <w:rPr>
          <w:rFonts w:cs="Verdana-Bold"/>
          <w:color w:val="425563"/>
          <w:lang w:val="pl"/>
        </w:rPr>
        <w:t>) w celu uruchomienia technologii 5G.</w:t>
      </w:r>
    </w:p>
    <w:p w14:paraId="4BAD0348" w14:textId="77777777" w:rsidR="00777887" w:rsidRPr="0039598A" w:rsidRDefault="00777887" w:rsidP="00777887">
      <w:pPr>
        <w:pStyle w:val="Akapitzlist"/>
        <w:numPr>
          <w:ilvl w:val="0"/>
          <w:numId w:val="19"/>
        </w:numPr>
        <w:suppressAutoHyphens/>
        <w:spacing w:after="0"/>
        <w:ind w:left="714" w:hanging="357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 xml:space="preserve">27 lutego </w:t>
      </w:r>
      <w:r w:rsidRPr="004B6483">
        <w:rPr>
          <w:rFonts w:cs="Verdana-Bold"/>
          <w:color w:val="425563"/>
          <w:lang w:val="pl"/>
        </w:rPr>
        <w:t xml:space="preserve">podczas targów telekomunikacyjnych Mobile World </w:t>
      </w:r>
      <w:proofErr w:type="spellStart"/>
      <w:r w:rsidRPr="004B6483">
        <w:rPr>
          <w:rFonts w:cs="Verdana-Bold"/>
          <w:color w:val="425563"/>
          <w:lang w:val="pl"/>
        </w:rPr>
        <w:t>Congress</w:t>
      </w:r>
      <w:proofErr w:type="spellEnd"/>
      <w:r w:rsidRPr="004B6483">
        <w:rPr>
          <w:rFonts w:cs="Verdana-Bold"/>
          <w:color w:val="425563"/>
          <w:lang w:val="pl"/>
        </w:rPr>
        <w:t xml:space="preserve"> w Barcelonie spółka Cellnex prezentuje model przemysłowy </w:t>
      </w:r>
      <w:proofErr w:type="spellStart"/>
      <w:r w:rsidRPr="004B6483">
        <w:rPr>
          <w:rFonts w:cs="Verdana-Bold"/>
          <w:color w:val="425563"/>
          <w:lang w:val="pl"/>
        </w:rPr>
        <w:t>Augmented</w:t>
      </w:r>
      <w:proofErr w:type="spellEnd"/>
      <w:r w:rsidRPr="004B6483">
        <w:rPr>
          <w:rFonts w:cs="Verdana-Bold"/>
          <w:color w:val="425563"/>
          <w:lang w:val="pl"/>
        </w:rPr>
        <w:t xml:space="preserve"> </w:t>
      </w:r>
      <w:proofErr w:type="spellStart"/>
      <w:r w:rsidRPr="004B6483">
        <w:rPr>
          <w:rFonts w:cs="Verdana-Bold"/>
          <w:color w:val="425563"/>
          <w:lang w:val="pl"/>
        </w:rPr>
        <w:t>TowerCo</w:t>
      </w:r>
      <w:proofErr w:type="spellEnd"/>
      <w:r w:rsidRPr="004B6483">
        <w:rPr>
          <w:rFonts w:cs="Verdana-Bold"/>
          <w:color w:val="425563"/>
          <w:lang w:val="pl"/>
        </w:rPr>
        <w:t>.</w:t>
      </w:r>
    </w:p>
    <w:p w14:paraId="4763B3E1" w14:textId="77777777" w:rsidR="00777887" w:rsidRPr="0039598A" w:rsidRDefault="00777887" w:rsidP="00777887">
      <w:pPr>
        <w:pStyle w:val="Akapitzlist"/>
        <w:numPr>
          <w:ilvl w:val="0"/>
          <w:numId w:val="19"/>
        </w:numPr>
        <w:suppressAutoHyphens/>
        <w:spacing w:after="0"/>
        <w:ind w:left="714" w:hanging="357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27 lutego</w:t>
      </w:r>
      <w:r w:rsidRPr="004B6483">
        <w:rPr>
          <w:rFonts w:cs="Verdana-Bold"/>
          <w:color w:val="425563"/>
          <w:lang w:val="pl"/>
        </w:rPr>
        <w:t xml:space="preserve"> prowadzony przez Cellnex projekt 5G </w:t>
      </w:r>
      <w:proofErr w:type="spellStart"/>
      <w:r w:rsidRPr="004B6483">
        <w:rPr>
          <w:rFonts w:cs="Verdana-Bold"/>
          <w:color w:val="425563"/>
          <w:lang w:val="pl"/>
        </w:rPr>
        <w:t>Catalunya</w:t>
      </w:r>
      <w:proofErr w:type="spellEnd"/>
      <w:r w:rsidRPr="004B6483">
        <w:rPr>
          <w:rFonts w:cs="Verdana-Bold"/>
          <w:color w:val="425563"/>
          <w:lang w:val="pl"/>
        </w:rPr>
        <w:t xml:space="preserve"> otrzymuje „Nagrodę doskonałości GSMA </w:t>
      </w:r>
      <w:proofErr w:type="spellStart"/>
      <w:r w:rsidRPr="004B6483">
        <w:rPr>
          <w:rFonts w:cs="Verdana-Bold"/>
          <w:color w:val="425563"/>
          <w:lang w:val="pl"/>
        </w:rPr>
        <w:t>Foundry</w:t>
      </w:r>
      <w:proofErr w:type="spellEnd"/>
      <w:r w:rsidRPr="004B6483">
        <w:rPr>
          <w:rFonts w:cs="Verdana-Bold"/>
          <w:color w:val="425563"/>
          <w:lang w:val="pl"/>
        </w:rPr>
        <w:t>”</w:t>
      </w:r>
    </w:p>
    <w:p w14:paraId="56F88698" w14:textId="77777777" w:rsidR="00777887" w:rsidRPr="0039598A" w:rsidRDefault="00777887" w:rsidP="00777887">
      <w:pPr>
        <w:pStyle w:val="Akapitzlist"/>
        <w:numPr>
          <w:ilvl w:val="0"/>
          <w:numId w:val="19"/>
        </w:numPr>
        <w:suppressAutoHyphens/>
        <w:spacing w:after="0"/>
        <w:ind w:left="714" w:hanging="357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27 lutego</w:t>
      </w:r>
      <w:r w:rsidRPr="004B6483">
        <w:rPr>
          <w:rFonts w:cs="Verdana-Bold"/>
          <w:color w:val="425563"/>
          <w:lang w:val="pl"/>
        </w:rPr>
        <w:t xml:space="preserve"> spółka Cellnex zawiera umowę z Księstwem Asturii na wdrożenie projektów pilotażowych Internetu rzeczy na wiejskich obszarach Asturii.</w:t>
      </w:r>
    </w:p>
    <w:p w14:paraId="1750567A" w14:textId="77777777" w:rsidR="00777887" w:rsidRPr="0039598A" w:rsidRDefault="00777887" w:rsidP="00777887">
      <w:pPr>
        <w:suppressAutoHyphens/>
        <w:spacing w:after="0" w:line="240" w:lineRule="auto"/>
        <w:jc w:val="left"/>
        <w:rPr>
          <w:rFonts w:asciiTheme="minorHAnsi" w:hAnsiTheme="minorHAnsi" w:cs="Verdana-Bold"/>
          <w:b/>
          <w:bCs/>
          <w:color w:val="425563"/>
          <w:sz w:val="22"/>
          <w:szCs w:val="22"/>
          <w:u w:val="single"/>
          <w:lang w:val="pl-PL"/>
        </w:rPr>
      </w:pPr>
    </w:p>
    <w:p w14:paraId="00125752" w14:textId="77777777" w:rsidR="00777887" w:rsidRPr="004B6483" w:rsidRDefault="00777887" w:rsidP="00777887">
      <w:pPr>
        <w:suppressAutoHyphens/>
        <w:spacing w:after="0" w:line="240" w:lineRule="auto"/>
        <w:jc w:val="left"/>
        <w:rPr>
          <w:rFonts w:asciiTheme="minorHAnsi" w:hAnsiTheme="minorHAnsi" w:cs="Verdana-Bold"/>
          <w:b/>
          <w:bCs/>
          <w:color w:val="425563"/>
          <w:sz w:val="22"/>
          <w:szCs w:val="22"/>
          <w:u w:val="single"/>
        </w:rPr>
      </w:pPr>
      <w:r w:rsidRPr="004B6483">
        <w:rPr>
          <w:rFonts w:cs="Verdana-Bold"/>
          <w:b/>
          <w:bCs/>
          <w:color w:val="425563"/>
          <w:sz w:val="22"/>
          <w:szCs w:val="22"/>
          <w:u w:val="single"/>
          <w:lang w:val="pl"/>
        </w:rPr>
        <w:t>Marzec</w:t>
      </w:r>
    </w:p>
    <w:p w14:paraId="5AACA5D3" w14:textId="77777777" w:rsidR="00777887" w:rsidRPr="004B6483" w:rsidRDefault="00777887" w:rsidP="00777887">
      <w:pPr>
        <w:suppressAutoHyphens/>
        <w:spacing w:after="0"/>
        <w:rPr>
          <w:rFonts w:asciiTheme="minorHAnsi" w:hAnsiTheme="minorHAnsi" w:cs="Verdana-Bold"/>
          <w:color w:val="425563"/>
          <w:sz w:val="16"/>
          <w:szCs w:val="16"/>
        </w:rPr>
      </w:pPr>
    </w:p>
    <w:p w14:paraId="2C6282F8" w14:textId="77777777" w:rsidR="00777887" w:rsidRPr="0039598A" w:rsidRDefault="00777887" w:rsidP="00777887">
      <w:pPr>
        <w:pStyle w:val="Akapitzlist"/>
        <w:numPr>
          <w:ilvl w:val="0"/>
          <w:numId w:val="20"/>
        </w:numPr>
        <w:suppressAutoHyphens/>
        <w:spacing w:after="0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15 marca</w:t>
      </w:r>
      <w:r w:rsidRPr="004B6483">
        <w:rPr>
          <w:rFonts w:cs="Verdana-Bold"/>
          <w:color w:val="425563"/>
          <w:lang w:val="pl"/>
        </w:rPr>
        <w:t xml:space="preserve"> spółka Cellnex drugi rok z rzędu zostaje uznana przez organizację CDP za „Lidera zaangażowania dostawców” (Supplier Engagement Leader).</w:t>
      </w:r>
    </w:p>
    <w:p w14:paraId="5A473A1C" w14:textId="77777777" w:rsidR="00777887" w:rsidRPr="0039598A" w:rsidRDefault="00777887" w:rsidP="00777887">
      <w:pPr>
        <w:pStyle w:val="Akapitzlist"/>
        <w:numPr>
          <w:ilvl w:val="0"/>
          <w:numId w:val="20"/>
        </w:numPr>
        <w:suppressAutoHyphens/>
        <w:spacing w:after="0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27 marca</w:t>
      </w:r>
      <w:r w:rsidRPr="004B6483">
        <w:rPr>
          <w:rFonts w:cs="Verdana-Bold"/>
          <w:color w:val="425563"/>
          <w:lang w:val="pl"/>
        </w:rPr>
        <w:t xml:space="preserve"> zarząd powołuję </w:t>
      </w:r>
      <w:proofErr w:type="spellStart"/>
      <w:r w:rsidRPr="004B6483">
        <w:rPr>
          <w:rFonts w:cs="Verdana-Bold"/>
          <w:color w:val="425563"/>
          <w:lang w:val="pl"/>
        </w:rPr>
        <w:t>Anne</w:t>
      </w:r>
      <w:proofErr w:type="spellEnd"/>
      <w:r w:rsidRPr="004B6483">
        <w:rPr>
          <w:rFonts w:cs="Verdana-Bold"/>
          <w:color w:val="425563"/>
          <w:lang w:val="pl"/>
        </w:rPr>
        <w:t xml:space="preserve"> </w:t>
      </w:r>
      <w:proofErr w:type="spellStart"/>
      <w:r w:rsidRPr="004B6483">
        <w:rPr>
          <w:rFonts w:cs="Verdana-Bold"/>
          <w:color w:val="425563"/>
          <w:lang w:val="pl"/>
        </w:rPr>
        <w:t>Bouverot</w:t>
      </w:r>
      <w:proofErr w:type="spellEnd"/>
      <w:r w:rsidRPr="004B6483">
        <w:rPr>
          <w:rFonts w:cs="Verdana-Bold"/>
          <w:color w:val="425563"/>
          <w:lang w:val="pl"/>
        </w:rPr>
        <w:t xml:space="preserve"> na stanowisko Prezesa </w:t>
      </w:r>
      <w:proofErr w:type="spellStart"/>
      <w:r w:rsidRPr="004B6483">
        <w:rPr>
          <w:rFonts w:cs="Verdana-Bold"/>
          <w:color w:val="425563"/>
          <w:lang w:val="pl"/>
        </w:rPr>
        <w:t>niewykonawczego</w:t>
      </w:r>
      <w:proofErr w:type="spellEnd"/>
      <w:r w:rsidRPr="004B6483">
        <w:rPr>
          <w:rFonts w:cs="Verdana-Bold"/>
          <w:color w:val="425563"/>
          <w:lang w:val="pl"/>
        </w:rPr>
        <w:t xml:space="preserve"> spółki Cellnex.</w:t>
      </w:r>
    </w:p>
    <w:p w14:paraId="798D3217" w14:textId="77777777" w:rsidR="00777887" w:rsidRPr="0039598A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color w:val="425563"/>
          <w:sz w:val="28"/>
          <w:szCs w:val="28"/>
          <w:lang w:val="pl-PL"/>
        </w:rPr>
      </w:pPr>
    </w:p>
    <w:p w14:paraId="38C7881A" w14:textId="77777777" w:rsidR="00777887" w:rsidRPr="004B6483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b/>
          <w:bCs/>
          <w:color w:val="425563"/>
          <w:sz w:val="22"/>
          <w:szCs w:val="22"/>
          <w:u w:val="single"/>
        </w:rPr>
      </w:pPr>
      <w:r w:rsidRPr="004B6483">
        <w:rPr>
          <w:rFonts w:cs="Verdana-Bold"/>
          <w:b/>
          <w:bCs/>
          <w:color w:val="425563"/>
          <w:sz w:val="22"/>
          <w:szCs w:val="22"/>
          <w:u w:val="single"/>
          <w:lang w:val="pl"/>
        </w:rPr>
        <w:t>Kwiecień</w:t>
      </w:r>
    </w:p>
    <w:p w14:paraId="59BD2F13" w14:textId="77777777" w:rsidR="00777887" w:rsidRPr="004B6483" w:rsidRDefault="00777887" w:rsidP="00777887">
      <w:pPr>
        <w:suppressAutoHyphens/>
        <w:spacing w:after="0"/>
        <w:rPr>
          <w:rFonts w:asciiTheme="minorHAnsi" w:hAnsiTheme="minorHAnsi" w:cs="Verdana-Bold"/>
          <w:b/>
          <w:bCs/>
          <w:color w:val="425563"/>
          <w:sz w:val="16"/>
          <w:szCs w:val="16"/>
          <w:u w:val="single"/>
        </w:rPr>
      </w:pPr>
    </w:p>
    <w:p w14:paraId="49C3DFBE" w14:textId="77777777" w:rsidR="00777887" w:rsidRPr="0039598A" w:rsidRDefault="00777887" w:rsidP="00777887">
      <w:pPr>
        <w:pStyle w:val="Akapitzlist"/>
        <w:numPr>
          <w:ilvl w:val="0"/>
          <w:numId w:val="21"/>
        </w:numPr>
        <w:suppressAutoHyphens/>
        <w:spacing w:after="0"/>
        <w:contextualSpacing w:val="0"/>
        <w:rPr>
          <w:rFonts w:asciiTheme="minorHAnsi" w:hAnsiTheme="minorHAnsi" w:cs="Verdana-Bold"/>
          <w:b/>
          <w:bCs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4 kwietnia</w:t>
      </w:r>
      <w:r w:rsidRPr="004B6483">
        <w:rPr>
          <w:rFonts w:cs="Verdana-Bold"/>
          <w:color w:val="425563"/>
          <w:lang w:val="pl"/>
        </w:rPr>
        <w:t xml:space="preserve"> Bertrand Kan i Peter </w:t>
      </w:r>
      <w:proofErr w:type="spellStart"/>
      <w:r w:rsidRPr="004B6483">
        <w:rPr>
          <w:rFonts w:cs="Verdana-Bold"/>
          <w:color w:val="425563"/>
          <w:lang w:val="pl"/>
        </w:rPr>
        <w:t>Shore</w:t>
      </w:r>
      <w:proofErr w:type="spellEnd"/>
      <w:r w:rsidRPr="004B6483">
        <w:rPr>
          <w:rFonts w:cs="Verdana-Bold"/>
          <w:color w:val="425563"/>
          <w:lang w:val="pl"/>
        </w:rPr>
        <w:t xml:space="preserve"> po ośmiu latach opuszczają szeregi Rady dyrektorów Cellnex.</w:t>
      </w:r>
    </w:p>
    <w:p w14:paraId="7A6B4ED1" w14:textId="77777777" w:rsidR="00777887" w:rsidRPr="0039598A" w:rsidRDefault="00777887" w:rsidP="00777887">
      <w:pPr>
        <w:pStyle w:val="Akapitzlist"/>
        <w:numPr>
          <w:ilvl w:val="0"/>
          <w:numId w:val="21"/>
        </w:numPr>
        <w:suppressAutoHyphens/>
        <w:spacing w:after="0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b/>
          <w:bCs/>
          <w:color w:val="425563"/>
          <w:lang w:val="pl"/>
        </w:rPr>
        <w:t>26 kwietnia</w:t>
      </w:r>
      <w:r w:rsidRPr="004B6483">
        <w:rPr>
          <w:color w:val="425563"/>
          <w:lang w:val="pl"/>
        </w:rPr>
        <w:t xml:space="preserve"> Rada dyrektorów powołuje Jonathana </w:t>
      </w:r>
      <w:proofErr w:type="spellStart"/>
      <w:r w:rsidRPr="004B6483">
        <w:rPr>
          <w:color w:val="425563"/>
          <w:lang w:val="pl"/>
        </w:rPr>
        <w:t>Amouyala</w:t>
      </w:r>
      <w:proofErr w:type="spellEnd"/>
      <w:r w:rsidRPr="004B6483">
        <w:rPr>
          <w:color w:val="425563"/>
          <w:lang w:val="pl"/>
        </w:rPr>
        <w:t xml:space="preserve"> na nowego dyrektora posiadającego znaczny pakiet akcji spółki</w:t>
      </w:r>
      <w:r w:rsidRPr="004B6483">
        <w:rPr>
          <w:rFonts w:asciiTheme="minorHAnsi" w:hAnsiTheme="minorHAnsi"/>
          <w:color w:val="425563"/>
          <w:sz w:val="24"/>
          <w:szCs w:val="22"/>
          <w:lang w:val="pl"/>
        </w:rPr>
        <w:t xml:space="preserve"> –</w:t>
      </w:r>
      <w:r w:rsidRPr="004B6483">
        <w:rPr>
          <w:color w:val="425563"/>
          <w:lang w:val="pl"/>
        </w:rPr>
        <w:t xml:space="preserve"> w imieniu TCI </w:t>
      </w:r>
      <w:r w:rsidRPr="004B6483">
        <w:rPr>
          <w:rFonts w:asciiTheme="minorHAnsi" w:hAnsiTheme="minorHAnsi"/>
          <w:color w:val="425563"/>
          <w:sz w:val="24"/>
          <w:szCs w:val="22"/>
          <w:lang w:val="pl"/>
        </w:rPr>
        <w:t>–</w:t>
      </w:r>
      <w:r w:rsidRPr="004B6483">
        <w:rPr>
          <w:color w:val="425563"/>
          <w:lang w:val="pl"/>
        </w:rPr>
        <w:t xml:space="preserve"> oraz </w:t>
      </w:r>
      <w:proofErr w:type="spellStart"/>
      <w:r w:rsidRPr="004B6483">
        <w:rPr>
          <w:color w:val="425563"/>
          <w:lang w:val="pl"/>
        </w:rPr>
        <w:t>Maite</w:t>
      </w:r>
      <w:proofErr w:type="spellEnd"/>
      <w:r w:rsidRPr="004B6483">
        <w:rPr>
          <w:color w:val="425563"/>
          <w:lang w:val="pl"/>
        </w:rPr>
        <w:t xml:space="preserve"> </w:t>
      </w:r>
      <w:proofErr w:type="spellStart"/>
      <w:r w:rsidRPr="004B6483">
        <w:rPr>
          <w:color w:val="425563"/>
          <w:lang w:val="pl"/>
        </w:rPr>
        <w:t>Ballestera</w:t>
      </w:r>
      <w:proofErr w:type="spellEnd"/>
      <w:r w:rsidRPr="004B6483">
        <w:rPr>
          <w:color w:val="425563"/>
          <w:lang w:val="pl"/>
        </w:rPr>
        <w:t xml:space="preserve"> na nowego niezależnego członka Rady dyrektorów spółki.</w:t>
      </w:r>
    </w:p>
    <w:p w14:paraId="01BB9D1E" w14:textId="77777777" w:rsidR="00777887" w:rsidRPr="0039598A" w:rsidRDefault="00777887" w:rsidP="00777887">
      <w:pPr>
        <w:pStyle w:val="Akapitzlist"/>
        <w:numPr>
          <w:ilvl w:val="0"/>
          <w:numId w:val="21"/>
        </w:numPr>
        <w:suppressAutoHyphens/>
        <w:spacing w:after="0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28 kwietnia</w:t>
      </w:r>
      <w:r w:rsidRPr="004B6483">
        <w:rPr>
          <w:rFonts w:cs="Verdana-Bold"/>
          <w:color w:val="425563"/>
          <w:lang w:val="pl"/>
        </w:rPr>
        <w:t xml:space="preserve"> spółka Cellnex ogłasza powołanie Marco </w:t>
      </w:r>
      <w:proofErr w:type="spellStart"/>
      <w:r w:rsidRPr="004B6483">
        <w:rPr>
          <w:rFonts w:cs="Verdana-Bold"/>
          <w:color w:val="425563"/>
          <w:lang w:val="pl"/>
        </w:rPr>
        <w:t>Patuano</w:t>
      </w:r>
      <w:proofErr w:type="spellEnd"/>
      <w:r w:rsidRPr="004B6483">
        <w:rPr>
          <w:rFonts w:cs="Verdana-Bold"/>
          <w:color w:val="425563"/>
          <w:lang w:val="pl"/>
        </w:rPr>
        <w:t xml:space="preserve"> na nowego dyrektora wykonawczego.</w:t>
      </w:r>
    </w:p>
    <w:p w14:paraId="15873EAD" w14:textId="77777777" w:rsidR="00777887" w:rsidRPr="0039598A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b/>
          <w:bCs/>
          <w:color w:val="425563"/>
          <w:sz w:val="22"/>
          <w:szCs w:val="22"/>
          <w:u w:val="single"/>
          <w:lang w:val="pl-PL"/>
        </w:rPr>
      </w:pPr>
    </w:p>
    <w:p w14:paraId="007C1DDD" w14:textId="77777777" w:rsidR="00777887" w:rsidRPr="004B6483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b/>
          <w:bCs/>
          <w:color w:val="425563"/>
          <w:sz w:val="22"/>
          <w:szCs w:val="22"/>
          <w:u w:val="single"/>
        </w:rPr>
      </w:pPr>
      <w:r w:rsidRPr="004B6483">
        <w:rPr>
          <w:rFonts w:cs="Verdana-Bold"/>
          <w:b/>
          <w:bCs/>
          <w:color w:val="425563"/>
          <w:sz w:val="22"/>
          <w:szCs w:val="22"/>
          <w:u w:val="single"/>
          <w:lang w:val="pl"/>
        </w:rPr>
        <w:t>Maj</w:t>
      </w:r>
    </w:p>
    <w:p w14:paraId="34925571" w14:textId="77777777" w:rsidR="00777887" w:rsidRPr="004B6483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b/>
          <w:bCs/>
          <w:color w:val="425563"/>
          <w:sz w:val="16"/>
          <w:szCs w:val="16"/>
          <w:u w:val="single"/>
        </w:rPr>
      </w:pPr>
    </w:p>
    <w:p w14:paraId="6CE4A5B1" w14:textId="77777777" w:rsidR="00777887" w:rsidRPr="0039598A" w:rsidRDefault="00777887" w:rsidP="00777887">
      <w:pPr>
        <w:pStyle w:val="Akapitzlist"/>
        <w:numPr>
          <w:ilvl w:val="0"/>
          <w:numId w:val="21"/>
        </w:numPr>
        <w:suppressAutoHyphens/>
        <w:spacing w:after="0"/>
        <w:contextualSpacing w:val="0"/>
        <w:rPr>
          <w:rFonts w:asciiTheme="minorHAnsi" w:hAnsiTheme="minorHAnsi" w:cs="Verdana-Bold"/>
          <w:b/>
          <w:bCs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23 maja</w:t>
      </w:r>
      <w:r w:rsidRPr="004B6483">
        <w:rPr>
          <w:rFonts w:cs="Verdana-Bold"/>
          <w:color w:val="425563"/>
          <w:lang w:val="pl"/>
        </w:rPr>
        <w:t xml:space="preserve"> Airbus i Cellnex zacieśniają współpracę w zakresie łączności krytycznej.</w:t>
      </w:r>
    </w:p>
    <w:p w14:paraId="1AB5743F" w14:textId="77777777" w:rsidR="00777887" w:rsidRPr="0039598A" w:rsidRDefault="00777887" w:rsidP="00777887">
      <w:pPr>
        <w:pStyle w:val="Akapitzlist"/>
        <w:numPr>
          <w:ilvl w:val="0"/>
          <w:numId w:val="21"/>
        </w:numPr>
        <w:suppressAutoHyphens/>
        <w:spacing w:after="0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16 maja</w:t>
      </w:r>
      <w:r w:rsidRPr="004B6483">
        <w:rPr>
          <w:rFonts w:cs="Verdana-Bold"/>
          <w:color w:val="425563"/>
          <w:lang w:val="pl"/>
        </w:rPr>
        <w:t xml:space="preserve"> spółka Cellnex przystępuje do projektu CRETA mającego na celu promowanie zrównoważonej mobilności i zmniejszeniu emisji pochodzących z transportu.</w:t>
      </w:r>
    </w:p>
    <w:p w14:paraId="3E395733" w14:textId="77777777" w:rsidR="00777887" w:rsidRPr="0039598A" w:rsidRDefault="00777887" w:rsidP="00777887">
      <w:pPr>
        <w:suppressAutoHyphens/>
        <w:spacing w:after="0"/>
        <w:rPr>
          <w:rFonts w:asciiTheme="minorHAnsi" w:hAnsiTheme="minorHAnsi" w:cs="Verdana-Bold"/>
          <w:b/>
          <w:bCs/>
          <w:color w:val="425563"/>
          <w:sz w:val="22"/>
          <w:szCs w:val="22"/>
          <w:lang w:val="pl-PL"/>
        </w:rPr>
      </w:pPr>
    </w:p>
    <w:p w14:paraId="38D30FDA" w14:textId="77777777" w:rsidR="00777887" w:rsidRPr="004B6483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b/>
          <w:bCs/>
          <w:color w:val="425563"/>
          <w:sz w:val="22"/>
          <w:szCs w:val="22"/>
          <w:u w:val="single"/>
        </w:rPr>
      </w:pPr>
      <w:r w:rsidRPr="004B6483">
        <w:rPr>
          <w:rFonts w:cs="Verdana-Bold"/>
          <w:b/>
          <w:bCs/>
          <w:color w:val="425563"/>
          <w:sz w:val="22"/>
          <w:szCs w:val="22"/>
          <w:u w:val="single"/>
          <w:lang w:val="pl"/>
        </w:rPr>
        <w:t>Czerwiec</w:t>
      </w:r>
    </w:p>
    <w:p w14:paraId="1413ED3F" w14:textId="77777777" w:rsidR="00777887" w:rsidRPr="004B6483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b/>
          <w:bCs/>
          <w:color w:val="425563"/>
          <w:sz w:val="16"/>
          <w:szCs w:val="16"/>
          <w:u w:val="single"/>
        </w:rPr>
      </w:pPr>
    </w:p>
    <w:p w14:paraId="5B815590" w14:textId="77777777" w:rsidR="00777887" w:rsidRPr="0039598A" w:rsidRDefault="00777887" w:rsidP="00777887">
      <w:pPr>
        <w:pStyle w:val="Akapitzlist"/>
        <w:numPr>
          <w:ilvl w:val="0"/>
          <w:numId w:val="21"/>
        </w:numPr>
        <w:suppressAutoHyphens/>
        <w:spacing w:after="0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1 czerwca</w:t>
      </w:r>
      <w:r w:rsidRPr="004B6483">
        <w:rPr>
          <w:rFonts w:cs="Verdana-Bold"/>
          <w:color w:val="425563"/>
          <w:lang w:val="pl"/>
        </w:rPr>
        <w:t xml:space="preserve"> Walne zgromadzenie akcjonariuszy Cellnex zatwierdza nominację Marco </w:t>
      </w:r>
      <w:proofErr w:type="spellStart"/>
      <w:r w:rsidRPr="004B6483">
        <w:rPr>
          <w:rFonts w:cs="Verdana-Bold"/>
          <w:color w:val="425563"/>
          <w:lang w:val="pl"/>
        </w:rPr>
        <w:t>Patuano</w:t>
      </w:r>
      <w:proofErr w:type="spellEnd"/>
      <w:r w:rsidRPr="004B6483">
        <w:rPr>
          <w:rFonts w:cs="Verdana-Bold"/>
          <w:color w:val="425563"/>
          <w:lang w:val="pl"/>
        </w:rPr>
        <w:t xml:space="preserve"> na stanowisko dyrektora wykonawczego.</w:t>
      </w:r>
    </w:p>
    <w:p w14:paraId="0BBC60B0" w14:textId="77777777" w:rsidR="00777887" w:rsidRPr="0039598A" w:rsidRDefault="00777887" w:rsidP="00777887">
      <w:pPr>
        <w:pStyle w:val="Akapitzlist"/>
        <w:numPr>
          <w:ilvl w:val="0"/>
          <w:numId w:val="21"/>
        </w:numPr>
        <w:suppressAutoHyphens/>
        <w:spacing w:after="0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8 czerwca</w:t>
      </w:r>
      <w:r w:rsidRPr="004B6483">
        <w:rPr>
          <w:rFonts w:cs="Verdana-Bold"/>
          <w:color w:val="425563"/>
          <w:lang w:val="pl"/>
        </w:rPr>
        <w:t xml:space="preserve"> spółka Cellnex poprawia swoją ocenę nadawaną przez </w:t>
      </w:r>
      <w:proofErr w:type="spellStart"/>
      <w:r w:rsidRPr="004B6483">
        <w:rPr>
          <w:rFonts w:cs="Verdana-Bold"/>
          <w:color w:val="425563"/>
          <w:lang w:val="pl"/>
        </w:rPr>
        <w:t>Sustainalytics</w:t>
      </w:r>
      <w:proofErr w:type="spellEnd"/>
      <w:r w:rsidRPr="004B6483">
        <w:rPr>
          <w:rFonts w:cs="Verdana-Bold"/>
          <w:color w:val="425563"/>
          <w:lang w:val="pl"/>
        </w:rPr>
        <w:t xml:space="preserve"> ESG </w:t>
      </w:r>
      <w:proofErr w:type="spellStart"/>
      <w:r w:rsidRPr="004B6483">
        <w:rPr>
          <w:rFonts w:cs="Verdana-Bold"/>
          <w:color w:val="425563"/>
          <w:lang w:val="pl"/>
        </w:rPr>
        <w:t>Risk</w:t>
      </w:r>
      <w:proofErr w:type="spellEnd"/>
      <w:r w:rsidRPr="004B6483">
        <w:rPr>
          <w:rFonts w:cs="Verdana-Bold"/>
          <w:color w:val="425563"/>
          <w:lang w:val="pl"/>
        </w:rPr>
        <w:t xml:space="preserve"> Rating.</w:t>
      </w:r>
    </w:p>
    <w:p w14:paraId="54D5FE94" w14:textId="77777777" w:rsidR="00777887" w:rsidRPr="0039598A" w:rsidRDefault="00777887" w:rsidP="00777887">
      <w:pPr>
        <w:pStyle w:val="Akapitzlist"/>
        <w:numPr>
          <w:ilvl w:val="0"/>
          <w:numId w:val="21"/>
        </w:numPr>
        <w:suppressAutoHyphens/>
        <w:spacing w:after="0"/>
        <w:contextualSpacing w:val="0"/>
        <w:rPr>
          <w:rFonts w:asciiTheme="minorHAnsi" w:hAnsiTheme="minorHAnsi" w:cs="Verdana-Bold"/>
          <w:b/>
          <w:bCs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 xml:space="preserve">14 czerwca </w:t>
      </w:r>
      <w:r w:rsidRPr="004B6483">
        <w:rPr>
          <w:rFonts w:cs="Verdana-Bold"/>
          <w:color w:val="425563"/>
          <w:lang w:val="pl"/>
        </w:rPr>
        <w:t>AENA i Cellnex wdrażają technologie 14G na lotnisku w San Sebastian.</w:t>
      </w:r>
    </w:p>
    <w:p w14:paraId="309447E9" w14:textId="77777777" w:rsidR="00777887" w:rsidRPr="0039598A" w:rsidRDefault="00777887" w:rsidP="00777887">
      <w:pPr>
        <w:pStyle w:val="Akapitzlist"/>
        <w:numPr>
          <w:ilvl w:val="0"/>
          <w:numId w:val="21"/>
        </w:numPr>
        <w:suppressAutoHyphens/>
        <w:spacing w:after="0"/>
        <w:contextualSpacing w:val="0"/>
        <w:rPr>
          <w:rFonts w:asciiTheme="minorHAnsi" w:hAnsiTheme="minorHAnsi" w:cs="Verdana-Bold"/>
          <w:b/>
          <w:bCs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30 czerwca</w:t>
      </w:r>
      <w:r w:rsidRPr="004B6483">
        <w:rPr>
          <w:rFonts w:cs="Verdana-Bold"/>
          <w:color w:val="425563"/>
          <w:lang w:val="pl"/>
        </w:rPr>
        <w:t xml:space="preserve"> spółka nabywa resztę udziałów w On Tower Poland.</w:t>
      </w:r>
    </w:p>
    <w:p w14:paraId="43978ECF" w14:textId="77777777" w:rsidR="00777887" w:rsidRPr="0039598A" w:rsidRDefault="00777887" w:rsidP="00777887">
      <w:pPr>
        <w:suppressAutoHyphens/>
        <w:spacing w:after="0"/>
        <w:rPr>
          <w:rFonts w:asciiTheme="minorHAnsi" w:hAnsiTheme="minorHAnsi" w:cs="Verdana-Bold"/>
          <w:b/>
          <w:bCs/>
          <w:color w:val="425563"/>
          <w:sz w:val="22"/>
          <w:szCs w:val="22"/>
          <w:lang w:val="pl-PL"/>
        </w:rPr>
      </w:pPr>
    </w:p>
    <w:p w14:paraId="284E7AE2" w14:textId="77777777" w:rsidR="00777887" w:rsidRPr="004B6483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b/>
          <w:bCs/>
          <w:color w:val="425563"/>
          <w:sz w:val="22"/>
          <w:szCs w:val="22"/>
          <w:u w:val="single"/>
        </w:rPr>
      </w:pPr>
      <w:r w:rsidRPr="004B6483">
        <w:rPr>
          <w:rFonts w:cs="Verdana-Bold"/>
          <w:b/>
          <w:bCs/>
          <w:color w:val="425563"/>
          <w:sz w:val="22"/>
          <w:szCs w:val="22"/>
          <w:u w:val="single"/>
          <w:lang w:val="pl"/>
        </w:rPr>
        <w:t>Lipiec</w:t>
      </w:r>
    </w:p>
    <w:p w14:paraId="65CD0837" w14:textId="77777777" w:rsidR="00777887" w:rsidRPr="004B6483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b/>
          <w:bCs/>
          <w:color w:val="425563"/>
          <w:sz w:val="22"/>
          <w:szCs w:val="22"/>
          <w:u w:val="single"/>
        </w:rPr>
      </w:pPr>
    </w:p>
    <w:p w14:paraId="05C11733" w14:textId="77777777" w:rsidR="00777887" w:rsidRPr="0039598A" w:rsidRDefault="00777887" w:rsidP="00777887">
      <w:pPr>
        <w:pStyle w:val="Akapitzlist"/>
        <w:numPr>
          <w:ilvl w:val="0"/>
          <w:numId w:val="21"/>
        </w:numPr>
        <w:suppressAutoHyphens/>
        <w:spacing w:after="0"/>
        <w:contextualSpacing w:val="0"/>
        <w:rPr>
          <w:rFonts w:asciiTheme="minorHAnsi" w:hAnsiTheme="minorHAnsi" w:cs="Verdana-Bold"/>
          <w:b/>
          <w:bCs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5 lipca</w:t>
      </w:r>
      <w:r w:rsidRPr="004B6483">
        <w:rPr>
          <w:rFonts w:cs="Verdana-Bold"/>
          <w:color w:val="425563"/>
          <w:lang w:val="pl"/>
        </w:rPr>
        <w:t xml:space="preserve"> IBETEC przyznaje spółce Cellnex prawa do transmisji swoich sygnałów radiowych i telewizyjnych na następne cztery lata.</w:t>
      </w:r>
    </w:p>
    <w:p w14:paraId="5BA3C49C" w14:textId="77777777" w:rsidR="00777887" w:rsidRPr="0039598A" w:rsidRDefault="00777887" w:rsidP="00777887">
      <w:pPr>
        <w:pStyle w:val="Akapitzlist"/>
        <w:numPr>
          <w:ilvl w:val="0"/>
          <w:numId w:val="21"/>
        </w:numPr>
        <w:suppressAutoHyphens/>
        <w:spacing w:after="0"/>
        <w:contextualSpacing w:val="0"/>
        <w:rPr>
          <w:rFonts w:asciiTheme="minorHAnsi" w:hAnsiTheme="minorHAnsi" w:cs="Verdana-Bold"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19 lipca</w:t>
      </w:r>
      <w:r w:rsidRPr="004B6483">
        <w:rPr>
          <w:rFonts w:cs="Verdana-Bold"/>
          <w:color w:val="425563"/>
          <w:lang w:val="pl"/>
        </w:rPr>
        <w:t xml:space="preserve"> Fundacja Cellnex włącza do swojego programu akceleracyjnego pięć nowych startupów o znaczeniu społecznym.</w:t>
      </w:r>
    </w:p>
    <w:p w14:paraId="34BA80A5" w14:textId="77777777" w:rsidR="00777887" w:rsidRPr="0039598A" w:rsidRDefault="00777887" w:rsidP="00777887">
      <w:pPr>
        <w:pStyle w:val="Akapitzlist"/>
        <w:numPr>
          <w:ilvl w:val="0"/>
          <w:numId w:val="21"/>
        </w:numPr>
        <w:suppressAutoHyphens/>
        <w:spacing w:after="0"/>
        <w:contextualSpacing w:val="0"/>
        <w:rPr>
          <w:rFonts w:asciiTheme="minorHAnsi" w:hAnsiTheme="minorHAnsi" w:cs="Verdana-Bold"/>
          <w:b/>
          <w:bCs/>
          <w:color w:val="425563"/>
          <w:lang w:val="pl-PL"/>
        </w:rPr>
      </w:pPr>
      <w:r w:rsidRPr="004B6483">
        <w:rPr>
          <w:rFonts w:cs="Verdana-Bold"/>
          <w:b/>
          <w:bCs/>
          <w:color w:val="425563"/>
          <w:lang w:val="pl"/>
        </w:rPr>
        <w:t>24 lipca</w:t>
      </w:r>
      <w:r w:rsidRPr="004B6483">
        <w:rPr>
          <w:rFonts w:cs="Verdana-Bold"/>
          <w:color w:val="425563"/>
          <w:lang w:val="pl"/>
        </w:rPr>
        <w:t xml:space="preserve"> EIB i Cellnex zaciągają pożyczkę w wysokości 315 mln EUR na wsparcie wdrożenia infrastruktury 5G oraz cyfryzacji w Europie.</w:t>
      </w:r>
    </w:p>
    <w:p w14:paraId="71E609F6" w14:textId="77777777" w:rsidR="00777887" w:rsidRPr="0039598A" w:rsidRDefault="00777887" w:rsidP="00777887">
      <w:pPr>
        <w:suppressAutoHyphens/>
        <w:spacing w:after="0" w:line="240" w:lineRule="auto"/>
        <w:jc w:val="left"/>
        <w:rPr>
          <w:b/>
          <w:color w:val="425563"/>
          <w:sz w:val="28"/>
          <w:szCs w:val="28"/>
          <w:u w:val="single"/>
          <w:lang w:val="pl-PL"/>
        </w:rPr>
      </w:pPr>
    </w:p>
    <w:p w14:paraId="21192246" w14:textId="77777777" w:rsidR="00777887" w:rsidRPr="0039598A" w:rsidRDefault="00777887" w:rsidP="00777887">
      <w:pPr>
        <w:suppressAutoHyphens/>
        <w:spacing w:after="0" w:line="240" w:lineRule="auto"/>
        <w:jc w:val="left"/>
        <w:rPr>
          <w:b/>
          <w:color w:val="425563"/>
          <w:sz w:val="28"/>
          <w:szCs w:val="28"/>
          <w:u w:val="single"/>
          <w:lang w:val="pl-PL"/>
        </w:rPr>
      </w:pPr>
    </w:p>
    <w:p w14:paraId="5C448D4D" w14:textId="77777777" w:rsidR="00777887" w:rsidRPr="0039598A" w:rsidRDefault="00777887" w:rsidP="00777887">
      <w:pPr>
        <w:suppressAutoHyphens/>
        <w:spacing w:after="0" w:line="240" w:lineRule="auto"/>
        <w:jc w:val="left"/>
        <w:rPr>
          <w:b/>
          <w:color w:val="425563"/>
          <w:sz w:val="28"/>
          <w:szCs w:val="28"/>
          <w:u w:val="single"/>
          <w:lang w:val="pl-PL"/>
        </w:rPr>
      </w:pPr>
    </w:p>
    <w:p w14:paraId="4CEDB3D0" w14:textId="77777777" w:rsidR="00777887" w:rsidRPr="0039598A" w:rsidRDefault="00777887" w:rsidP="00777887">
      <w:pPr>
        <w:suppressAutoHyphens/>
        <w:spacing w:after="0" w:line="240" w:lineRule="auto"/>
        <w:jc w:val="left"/>
        <w:rPr>
          <w:b/>
          <w:color w:val="425563"/>
          <w:sz w:val="28"/>
          <w:szCs w:val="28"/>
          <w:u w:val="single"/>
          <w:lang w:val="pl-PL"/>
        </w:rPr>
      </w:pPr>
    </w:p>
    <w:p w14:paraId="56182188" w14:textId="77777777" w:rsidR="00777887" w:rsidRPr="0039598A" w:rsidRDefault="00777887" w:rsidP="00777887">
      <w:pPr>
        <w:spacing w:after="0" w:line="240" w:lineRule="auto"/>
        <w:jc w:val="left"/>
        <w:rPr>
          <w:bCs/>
          <w:color w:val="425563"/>
          <w:sz w:val="28"/>
          <w:szCs w:val="28"/>
          <w:u w:val="single"/>
          <w:lang w:val="pl-PL"/>
        </w:rPr>
      </w:pPr>
      <w:r w:rsidRPr="004B6483">
        <w:rPr>
          <w:b/>
          <w:bCs/>
          <w:color w:val="425563"/>
          <w:sz w:val="28"/>
          <w:szCs w:val="28"/>
          <w:u w:val="single"/>
          <w:lang w:val="pl"/>
        </w:rPr>
        <w:t xml:space="preserve">Załącznik 3. </w:t>
      </w:r>
      <w:r w:rsidRPr="004B6483">
        <w:rPr>
          <w:color w:val="425563"/>
          <w:sz w:val="28"/>
          <w:szCs w:val="28"/>
          <w:u w:val="single"/>
          <w:lang w:val="pl"/>
        </w:rPr>
        <w:t>Alternatywne pomiary wyników spoza MSSF</w:t>
      </w:r>
    </w:p>
    <w:p w14:paraId="76CB389E" w14:textId="77777777" w:rsidR="00777887" w:rsidRPr="0039598A" w:rsidRDefault="00777887" w:rsidP="00777887">
      <w:pPr>
        <w:spacing w:after="0" w:line="240" w:lineRule="auto"/>
        <w:jc w:val="left"/>
        <w:rPr>
          <w:b/>
          <w:color w:val="425563"/>
          <w:sz w:val="28"/>
          <w:szCs w:val="28"/>
          <w:u w:val="single"/>
          <w:lang w:val="pl-PL"/>
        </w:rPr>
      </w:pPr>
    </w:p>
    <w:p w14:paraId="6D47F9E9" w14:textId="77777777" w:rsidR="00777887" w:rsidRPr="0039598A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color w:val="425563"/>
          <w:spacing w:val="0"/>
          <w:lang w:val="pl-PL"/>
        </w:rPr>
      </w:pPr>
      <w:r w:rsidRPr="004B6483">
        <w:rPr>
          <w:rFonts w:asciiTheme="minorHAnsi" w:hAnsiTheme="minorHAnsi" w:cs="Verdana-Bold"/>
          <w:color w:val="425563"/>
          <w:lang w:val="pl"/>
        </w:rPr>
        <w:t>W niniejszej informacji prasowej, oprócz danych finansowych opracowanych zgodnie z Międzynarodowymi Standardami Sprawozdawczości Finansowej (MSSF) i pochodzących z naszych sprawozdań finansowych, zawarto również alternatywne pomiary wyników (APM) określone w wytycznych Europejskiego Urzędu Nadzoru Giełd i Papierów Wartościowych (</w:t>
      </w:r>
      <w:proofErr w:type="spellStart"/>
      <w:r w:rsidRPr="004B6483">
        <w:rPr>
          <w:rFonts w:asciiTheme="minorHAnsi" w:hAnsiTheme="minorHAnsi" w:cs="Verdana-Bold"/>
          <w:color w:val="425563"/>
          <w:lang w:val="pl"/>
        </w:rPr>
        <w:t>EUNGiPW</w:t>
      </w:r>
      <w:proofErr w:type="spellEnd"/>
      <w:r w:rsidRPr="004B6483">
        <w:rPr>
          <w:rFonts w:asciiTheme="minorHAnsi" w:hAnsiTheme="minorHAnsi" w:cs="Verdana-Bold"/>
          <w:color w:val="425563"/>
          <w:lang w:val="pl"/>
        </w:rPr>
        <w:t>) z dnia 5 października 2015 r. dotyczących alternatywnych pomiarów wyników (ESMA/2015/1415en) oraz inne wskaźniki spoza MSSF. Wskaźniki finansowe stanowiące APM oraz wskaźniki spoza MSSF obliczono na podstawie danych pochodzących od Grupy Cellnex; te wskaźniki finansowe nie zostały jednak zdefiniowane ani dokładnie opisane w stosownych ramowych założeniach sprawozdawczości finansowej, nie podlegały również audytowi ani weryfikacji przez naszych audytorów.</w:t>
      </w:r>
    </w:p>
    <w:p w14:paraId="7D4B4ADD" w14:textId="77777777" w:rsidR="00777887" w:rsidRPr="0039598A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color w:val="425563"/>
          <w:spacing w:val="0"/>
          <w:lang w:val="pl-PL"/>
        </w:rPr>
      </w:pPr>
    </w:p>
    <w:p w14:paraId="4C83FDCA" w14:textId="77777777" w:rsidR="00777887" w:rsidRPr="0039598A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color w:val="425563"/>
          <w:spacing w:val="0"/>
          <w:lang w:val="pl-PL"/>
        </w:rPr>
      </w:pPr>
      <w:r w:rsidRPr="004B6483">
        <w:rPr>
          <w:rFonts w:asciiTheme="minorHAnsi" w:hAnsiTheme="minorHAnsi" w:cs="Verdana-Bold"/>
          <w:color w:val="425563"/>
          <w:lang w:val="pl"/>
        </w:rPr>
        <w:t>Ze wskaźników APM i wskaźników spoza MSSF korzystamy do planowania, monitorowania i oceny naszej wydajności. Uważamy wskaźniki APM i wskaźniki spoza MSSF za użyteczne dla naszej kadry kierowniczej i inwestorów przy porównywaniu przeszłych bądź przyszłych wskaźników wyników finansowych, sytuacji finansowej czy przepływów pieniężnych. Jednakże wskaźniki APM i wskaźniki spoza MSSF należy traktować jako uzupełniające, a nie zastępujące wskaźniki MSSF. Ponadto spółki z naszej branży i inne podmioty mogą obliczać wskaźniki APM i wskaźniki spoza MSSF w inny sposób, co czyni je umiarkowanie użytecznymi do celów porównawczych.</w:t>
      </w:r>
    </w:p>
    <w:p w14:paraId="7EAC11CF" w14:textId="77777777" w:rsidR="00777887" w:rsidRPr="0039598A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color w:val="425563"/>
          <w:spacing w:val="0"/>
          <w:lang w:val="pl-PL"/>
        </w:rPr>
      </w:pPr>
    </w:p>
    <w:p w14:paraId="2A3433D4" w14:textId="77777777" w:rsidR="00777887" w:rsidRPr="0039598A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color w:val="425563"/>
          <w:spacing w:val="0"/>
          <w:lang w:val="pl-PL"/>
        </w:rPr>
      </w:pPr>
      <w:r w:rsidRPr="004B6483">
        <w:rPr>
          <w:rFonts w:asciiTheme="minorHAnsi" w:hAnsiTheme="minorHAnsi" w:cs="Verdana-Bold"/>
          <w:color w:val="425563"/>
          <w:lang w:val="pl"/>
        </w:rPr>
        <w:t>Więcej informacji na temat definicji i wyjaśnień odnośnie do stosowania wskaźników APM i wskaźników spoza MSSF można znaleźć w części „Alternatywne pomiary wyników” śródrocznego skonsolidowanego sprawozdania finansowego spółki Cellnex Telecom, S.A. oraz w skonsolidowanym śródrocznym sprawozdaniu zarządu za półrocze zakończone w dniu 30 czerwca 2023 r. (sporządzonym zgodnie z międzynarodowym standardem rachunkowości (MSR 34) i opublikowanym w dniu 27 lipca 2023 roku. Ponadto więcej informacji na temat obliczania i uzgadniania wskaźników APM i wskaźników spoza MSSF ze wskaźnikami stosowanymi przez kierownictwo oraz danymi finansowymi za półrocze zakończone w dniu 30 czerwca 2023 r. można znaleźć w pomocniczym pliku Excel opublikowanym w dniu dzisiejszym przez spółkę Cellnex Telecom, S.A.</w:t>
      </w:r>
    </w:p>
    <w:p w14:paraId="2FB508C9" w14:textId="77777777" w:rsidR="00777887" w:rsidRPr="0039598A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color w:val="425563"/>
          <w:spacing w:val="0"/>
          <w:lang w:val="pl-PL"/>
        </w:rPr>
      </w:pPr>
    </w:p>
    <w:p w14:paraId="4F1EC669" w14:textId="77777777" w:rsidR="00777887" w:rsidRPr="0039598A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color w:val="425563"/>
          <w:spacing w:val="0"/>
          <w:lang w:val="pl-PL"/>
        </w:rPr>
      </w:pPr>
      <w:r w:rsidRPr="004B6483">
        <w:rPr>
          <w:rFonts w:asciiTheme="minorHAnsi" w:hAnsiTheme="minorHAnsi" w:cs="Verdana-Bold"/>
          <w:color w:val="425563"/>
          <w:lang w:val="pl"/>
        </w:rPr>
        <w:t>Wszystkie dokumenty są dostępne w witrynie internetowej spółki Cellnex (</w:t>
      </w:r>
      <w:hyperlink r:id="rId10" w:history="1">
        <w:r w:rsidRPr="004B6483">
          <w:rPr>
            <w:rStyle w:val="Hipercze"/>
            <w:rFonts w:asciiTheme="minorHAnsi" w:hAnsiTheme="minorHAnsi" w:cs="Verdana-Bold"/>
            <w:lang w:val="pl"/>
          </w:rPr>
          <w:t>http://www.cellnex.com/</w:t>
        </w:r>
      </w:hyperlink>
      <w:r w:rsidRPr="004B6483">
        <w:rPr>
          <w:rFonts w:asciiTheme="minorHAnsi" w:hAnsiTheme="minorHAnsi" w:cs="Verdana-Bold"/>
          <w:color w:val="425563"/>
          <w:lang w:val="pl"/>
        </w:rPr>
        <w:t>):</w:t>
      </w:r>
    </w:p>
    <w:p w14:paraId="6AAE773E" w14:textId="77777777" w:rsidR="00777887" w:rsidRPr="0039598A" w:rsidRDefault="00777887" w:rsidP="00777887">
      <w:pPr>
        <w:suppressAutoHyphens/>
        <w:spacing w:after="0" w:line="240" w:lineRule="auto"/>
        <w:rPr>
          <w:rFonts w:asciiTheme="minorHAnsi" w:hAnsiTheme="minorHAnsi" w:cs="Verdana-Bold"/>
          <w:color w:val="425563"/>
          <w:spacing w:val="0"/>
          <w:lang w:val="pl-PL"/>
        </w:rPr>
      </w:pPr>
    </w:p>
    <w:p w14:paraId="42218234" w14:textId="77777777" w:rsidR="00777887" w:rsidRPr="004B6483" w:rsidRDefault="00777887" w:rsidP="00777887">
      <w:pPr>
        <w:numPr>
          <w:ilvl w:val="0"/>
          <w:numId w:val="18"/>
        </w:numPr>
        <w:ind w:left="284" w:hanging="142"/>
        <w:contextualSpacing/>
        <w:jc w:val="left"/>
        <w:rPr>
          <w:rFonts w:asciiTheme="minorHAnsi" w:hAnsiTheme="minorHAnsi" w:cs="Verdana-Bold"/>
          <w:color w:val="425563"/>
          <w:spacing w:val="0"/>
        </w:rPr>
      </w:pPr>
      <w:r w:rsidRPr="004B6483">
        <w:rPr>
          <w:rFonts w:asciiTheme="minorHAnsi" w:hAnsiTheme="minorHAnsi" w:cs="Verdana-Bold"/>
          <w:color w:val="425563"/>
          <w:lang w:val="pl"/>
        </w:rPr>
        <w:t xml:space="preserve">Pomocniczy plik Excel: </w:t>
      </w:r>
    </w:p>
    <w:p w14:paraId="1A8CE853" w14:textId="77777777" w:rsidR="00777887" w:rsidRPr="004B6483" w:rsidRDefault="00777887" w:rsidP="00777887">
      <w:pPr>
        <w:ind w:left="284"/>
        <w:contextualSpacing/>
        <w:jc w:val="left"/>
        <w:rPr>
          <w:color w:val="0000FF"/>
          <w:spacing w:val="0"/>
          <w:u w:val="single"/>
        </w:rPr>
      </w:pPr>
      <w:hyperlink r:id="rId11" w:anchor="shareholders-investors-quarterly-results" w:history="1">
        <w:r w:rsidRPr="004B6483">
          <w:rPr>
            <w:color w:val="0000FF"/>
            <w:u w:val="single"/>
            <w:lang w:val="pl"/>
          </w:rPr>
          <w:t>Informacje finansowe – Cellnex</w:t>
        </w:r>
      </w:hyperlink>
    </w:p>
    <w:p w14:paraId="2AB96D0E" w14:textId="77777777" w:rsidR="00777887" w:rsidRPr="004B6483" w:rsidRDefault="00777887" w:rsidP="00777887">
      <w:pPr>
        <w:ind w:left="284"/>
        <w:contextualSpacing/>
        <w:jc w:val="left"/>
      </w:pPr>
    </w:p>
    <w:p w14:paraId="26996EB4" w14:textId="77777777" w:rsidR="00777887" w:rsidRPr="0039598A" w:rsidRDefault="00777887" w:rsidP="00777887">
      <w:pPr>
        <w:numPr>
          <w:ilvl w:val="0"/>
          <w:numId w:val="18"/>
        </w:numPr>
        <w:suppressAutoHyphens/>
        <w:spacing w:after="120" w:line="240" w:lineRule="auto"/>
        <w:ind w:left="284" w:hanging="142"/>
        <w:contextualSpacing/>
        <w:jc w:val="left"/>
        <w:rPr>
          <w:rFonts w:asciiTheme="minorHAnsi" w:hAnsiTheme="minorHAnsi" w:cs="Verdana-Bold"/>
          <w:color w:val="425563"/>
          <w:spacing w:val="0"/>
          <w:lang w:val="pl-PL"/>
        </w:rPr>
      </w:pPr>
      <w:r w:rsidRPr="004B6483">
        <w:rPr>
          <w:rFonts w:asciiTheme="minorHAnsi" w:hAnsiTheme="minorHAnsi" w:cs="Verdana-Bold"/>
          <w:color w:val="425563"/>
          <w:lang w:val="pl"/>
        </w:rPr>
        <w:t>Skonsolidowane sprawozdanie finansowe za rok obrotowy 2022:</w:t>
      </w:r>
    </w:p>
    <w:p w14:paraId="6738C734" w14:textId="77777777" w:rsidR="00777887" w:rsidRPr="00777887" w:rsidRDefault="00777887" w:rsidP="00777887">
      <w:pPr>
        <w:suppressAutoHyphens/>
        <w:spacing w:after="120" w:line="240" w:lineRule="auto"/>
        <w:ind w:left="284"/>
        <w:contextualSpacing/>
        <w:jc w:val="left"/>
        <w:rPr>
          <w:color w:val="425563"/>
          <w:spacing w:val="0"/>
          <w:sz w:val="22"/>
          <w:lang w:val="en-US"/>
        </w:rPr>
      </w:pPr>
      <w:hyperlink r:id="rId12" w:anchor="shareholders-investors-financial-reports" w:history="1">
        <w:proofErr w:type="spellStart"/>
        <w:r w:rsidRPr="00777887">
          <w:rPr>
            <w:color w:val="0000FF"/>
            <w:u w:val="single"/>
            <w:lang w:val="en-US"/>
          </w:rPr>
          <w:t>Informacje</w:t>
        </w:r>
        <w:proofErr w:type="spellEnd"/>
        <w:r w:rsidRPr="00777887">
          <w:rPr>
            <w:color w:val="0000FF"/>
            <w:u w:val="single"/>
            <w:lang w:val="en-US"/>
          </w:rPr>
          <w:t xml:space="preserve"> </w:t>
        </w:r>
        <w:proofErr w:type="spellStart"/>
        <w:r w:rsidRPr="00777887">
          <w:rPr>
            <w:color w:val="0000FF"/>
            <w:u w:val="single"/>
            <w:lang w:val="en-US"/>
          </w:rPr>
          <w:t>finansowe</w:t>
        </w:r>
        <w:proofErr w:type="spellEnd"/>
        <w:r w:rsidRPr="00777887">
          <w:rPr>
            <w:color w:val="0000FF"/>
            <w:u w:val="single"/>
            <w:lang w:val="en-US"/>
          </w:rPr>
          <w:t xml:space="preserve"> – Cellnex</w:t>
        </w:r>
      </w:hyperlink>
    </w:p>
    <w:p w14:paraId="083F119A" w14:textId="77777777" w:rsidR="00777887" w:rsidRPr="00777887" w:rsidRDefault="00777887" w:rsidP="00777887">
      <w:pPr>
        <w:suppressAutoHyphens/>
        <w:rPr>
          <w:lang w:val="en-US"/>
        </w:rPr>
      </w:pPr>
    </w:p>
    <w:p w14:paraId="4702800C" w14:textId="45F736E9" w:rsidR="00A83D97" w:rsidRPr="00777887" w:rsidRDefault="00A83D97" w:rsidP="001416E0">
      <w:pPr>
        <w:suppressAutoHyphens/>
        <w:spacing w:line="240" w:lineRule="auto"/>
        <w:rPr>
          <w:b/>
          <w:bCs/>
          <w:color w:val="70AD47" w:themeColor="accent6"/>
          <w:sz w:val="24"/>
          <w:szCs w:val="24"/>
          <w:lang w:val="en-US"/>
        </w:rPr>
      </w:pPr>
    </w:p>
    <w:p w14:paraId="380252D3" w14:textId="4C303BBF" w:rsidR="00A83D97" w:rsidRPr="00777887" w:rsidRDefault="00A83D97" w:rsidP="001416E0">
      <w:pPr>
        <w:suppressAutoHyphens/>
        <w:spacing w:line="240" w:lineRule="auto"/>
        <w:rPr>
          <w:b/>
          <w:bCs/>
          <w:color w:val="70AD47" w:themeColor="accent6"/>
          <w:sz w:val="24"/>
          <w:szCs w:val="24"/>
          <w:lang w:val="en-US"/>
        </w:rPr>
      </w:pPr>
    </w:p>
    <w:p w14:paraId="7170F915" w14:textId="16108DA6" w:rsidR="00A83D97" w:rsidRPr="00777887" w:rsidRDefault="00A83D97" w:rsidP="001416E0">
      <w:pPr>
        <w:suppressAutoHyphens/>
        <w:spacing w:line="240" w:lineRule="auto"/>
        <w:rPr>
          <w:b/>
          <w:bCs/>
          <w:color w:val="70AD47" w:themeColor="accent6"/>
          <w:sz w:val="24"/>
          <w:szCs w:val="24"/>
          <w:lang w:val="en-US"/>
        </w:rPr>
      </w:pPr>
    </w:p>
    <w:p w14:paraId="1416C5E4" w14:textId="48B2723A" w:rsidR="00A83D97" w:rsidRPr="00777887" w:rsidRDefault="00A83D97" w:rsidP="001416E0">
      <w:pPr>
        <w:suppressAutoHyphens/>
        <w:spacing w:line="240" w:lineRule="auto"/>
        <w:rPr>
          <w:b/>
          <w:bCs/>
          <w:color w:val="70AD47" w:themeColor="accent6"/>
          <w:sz w:val="24"/>
          <w:szCs w:val="24"/>
          <w:lang w:val="en-US"/>
        </w:rPr>
      </w:pPr>
    </w:p>
    <w:p w14:paraId="00D4EFF8" w14:textId="0406A8DB" w:rsidR="00A83D97" w:rsidRPr="00777887" w:rsidRDefault="00A83D97" w:rsidP="001416E0">
      <w:pPr>
        <w:suppressAutoHyphens/>
        <w:spacing w:line="240" w:lineRule="auto"/>
        <w:rPr>
          <w:b/>
          <w:bCs/>
          <w:color w:val="70AD47" w:themeColor="accent6"/>
          <w:sz w:val="24"/>
          <w:szCs w:val="24"/>
          <w:lang w:val="en-US"/>
        </w:rPr>
      </w:pPr>
    </w:p>
    <w:p w14:paraId="0E889009" w14:textId="280A6A44" w:rsidR="00A83D97" w:rsidRPr="00777887" w:rsidRDefault="00A83D97" w:rsidP="001416E0">
      <w:pPr>
        <w:suppressAutoHyphens/>
        <w:spacing w:line="240" w:lineRule="auto"/>
        <w:rPr>
          <w:b/>
          <w:bCs/>
          <w:color w:val="70AD47" w:themeColor="accent6"/>
          <w:sz w:val="24"/>
          <w:szCs w:val="24"/>
          <w:lang w:val="en-US"/>
        </w:rPr>
      </w:pPr>
    </w:p>
    <w:p w14:paraId="329B87BB" w14:textId="77777777" w:rsidR="00A83D97" w:rsidRPr="00777887" w:rsidRDefault="00A83D97" w:rsidP="001416E0">
      <w:pPr>
        <w:suppressAutoHyphens/>
        <w:spacing w:line="240" w:lineRule="auto"/>
        <w:rPr>
          <w:b/>
          <w:bCs/>
          <w:color w:val="70AD47" w:themeColor="accent6"/>
          <w:sz w:val="24"/>
          <w:szCs w:val="24"/>
          <w:lang w:val="en-US"/>
        </w:rPr>
      </w:pPr>
    </w:p>
    <w:sectPr w:rsidR="00A83D97" w:rsidRPr="00777887" w:rsidSect="00897A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268" w:right="985" w:bottom="1418" w:left="1588" w:header="709" w:footer="49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4F9D" w14:textId="77777777" w:rsidR="002D41CB" w:rsidRDefault="002D41CB">
      <w:pPr>
        <w:spacing w:after="0" w:line="240" w:lineRule="auto"/>
      </w:pPr>
      <w:r>
        <w:separator/>
      </w:r>
    </w:p>
  </w:endnote>
  <w:endnote w:type="continuationSeparator" w:id="0">
    <w:p w14:paraId="004AA756" w14:textId="77777777" w:rsidR="002D41CB" w:rsidRDefault="002D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Bliss-LightItalic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Verdana-Bold">
    <w:altName w:val="Times New Roman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6B8A" w14:textId="77777777" w:rsidR="00447AFD" w:rsidRDefault="00B719B6" w:rsidP="00767D38">
    <w:pPr>
      <w:pStyle w:val="Stopka"/>
      <w:rPr>
        <w:rStyle w:val="Numerstrony"/>
      </w:rPr>
    </w:pPr>
    <w:r>
      <w:rPr>
        <w:rStyle w:val="Numerstrony"/>
        <w:lang w:val="pl"/>
      </w:rPr>
      <w:fldChar w:fldCharType="begin"/>
    </w:r>
    <w:r>
      <w:rPr>
        <w:rStyle w:val="Numerstrony"/>
        <w:lang w:val="pl"/>
      </w:rPr>
      <w:instrText xml:space="preserve">PAGE  </w:instrText>
    </w:r>
    <w:r w:rsidR="00000000">
      <w:rPr>
        <w:rStyle w:val="Numerstrony"/>
        <w:lang w:val="pl"/>
      </w:rPr>
      <w:fldChar w:fldCharType="separate"/>
    </w:r>
    <w:r>
      <w:rPr>
        <w:rStyle w:val="Numerstrony"/>
        <w:lang w:val="pl"/>
      </w:rPr>
      <w:fldChar w:fldCharType="end"/>
    </w:r>
  </w:p>
  <w:p w14:paraId="0EA3628E" w14:textId="77777777" w:rsidR="00447AFD" w:rsidRDefault="00447AFD" w:rsidP="00767D38">
    <w:pPr>
      <w:pStyle w:val="Stopka"/>
    </w:pPr>
  </w:p>
  <w:p w14:paraId="2D0897C3" w14:textId="77777777" w:rsidR="00447AFD" w:rsidRDefault="00447AFD" w:rsidP="00767D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4A81" w14:textId="77777777" w:rsidR="00447AFD" w:rsidRPr="00B9470E" w:rsidRDefault="00447AFD" w:rsidP="00B9470E">
    <w:pPr>
      <w:tabs>
        <w:tab w:val="right" w:pos="9400"/>
      </w:tabs>
      <w:spacing w:line="240" w:lineRule="auto"/>
      <w:rPr>
        <w:rFonts w:ascii="Times New Roman" w:hAnsi="Times New Roman" w:cs="Times New Roman"/>
        <w:sz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EE2D" w14:textId="77777777" w:rsidR="00447AFD" w:rsidRPr="00B9470E" w:rsidRDefault="00447AFD" w:rsidP="00B9470E">
    <w:pPr>
      <w:tabs>
        <w:tab w:val="right" w:pos="9400"/>
      </w:tabs>
      <w:spacing w:line="240" w:lineRule="auto"/>
      <w:rPr>
        <w:rFonts w:ascii="Times New Roman" w:hAnsi="Times New Roman" w:cs="Times New Roman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E73D" w14:textId="77777777" w:rsidR="002D41CB" w:rsidRDefault="002D41CB" w:rsidP="00767D38">
      <w:r>
        <w:separator/>
      </w:r>
    </w:p>
    <w:p w14:paraId="54E2EEEB" w14:textId="77777777" w:rsidR="002D41CB" w:rsidRDefault="002D41CB" w:rsidP="00767D38"/>
  </w:footnote>
  <w:footnote w:type="continuationSeparator" w:id="0">
    <w:p w14:paraId="60BD2B3C" w14:textId="77777777" w:rsidR="002D41CB" w:rsidRDefault="002D41CB" w:rsidP="00767D38">
      <w:r>
        <w:continuationSeparator/>
      </w:r>
    </w:p>
    <w:p w14:paraId="5430889E" w14:textId="77777777" w:rsidR="002D41CB" w:rsidRDefault="002D41CB" w:rsidP="00767D38"/>
  </w:footnote>
  <w:footnote w:id="1">
    <w:p w14:paraId="69108603" w14:textId="3875DDDB" w:rsidR="00447AFD" w:rsidRPr="00777887" w:rsidRDefault="00B719B6" w:rsidP="00A646A3">
      <w:pPr>
        <w:pStyle w:val="Tekstprzypisudolnego"/>
        <w:rPr>
          <w:color w:val="A6A6A6" w:themeColor="background1" w:themeShade="A6"/>
          <w:sz w:val="16"/>
          <w:szCs w:val="16"/>
          <w:lang w:val="pl-PL"/>
        </w:rPr>
      </w:pPr>
      <w:r>
        <w:rPr>
          <w:rStyle w:val="Odwoanieprzypisudolnego"/>
          <w:color w:val="A6A6A6" w:themeColor="background1" w:themeShade="A6"/>
          <w:sz w:val="16"/>
          <w:szCs w:val="16"/>
          <w:lang w:val="pl"/>
        </w:rPr>
        <w:footnoteRef/>
      </w:r>
      <w:r>
        <w:rPr>
          <w:color w:val="A6A6A6" w:themeColor="background1" w:themeShade="A6"/>
          <w:sz w:val="16"/>
          <w:szCs w:val="16"/>
          <w:lang w:val="pl"/>
        </w:rPr>
        <w:t xml:space="preserve"> Dokument Excel z odnośnymi danymi jest dostępny na stronie www.cellnex.com</w:t>
      </w:r>
    </w:p>
  </w:footnote>
  <w:footnote w:id="2">
    <w:p w14:paraId="39F217C7" w14:textId="0BCA961E" w:rsidR="00447AFD" w:rsidRPr="00777887" w:rsidRDefault="00B719B6" w:rsidP="00A646A3">
      <w:pPr>
        <w:pStyle w:val="Tekstprzypisudolnego"/>
        <w:ind w:left="142" w:hanging="142"/>
        <w:rPr>
          <w:lang w:val="pl-PL"/>
        </w:rPr>
      </w:pPr>
      <w:r>
        <w:rPr>
          <w:rStyle w:val="Odwoanieprzypisudolnego"/>
          <w:color w:val="A6A6A6" w:themeColor="background1" w:themeShade="A6"/>
          <w:sz w:val="16"/>
          <w:szCs w:val="16"/>
          <w:lang w:val="pl"/>
        </w:rPr>
        <w:footnoteRef/>
      </w:r>
      <w:r>
        <w:rPr>
          <w:color w:val="A6A6A6" w:themeColor="background1" w:themeShade="A6"/>
          <w:sz w:val="16"/>
          <w:szCs w:val="16"/>
          <w:lang w:val="pl"/>
        </w:rPr>
        <w:t xml:space="preserve"> Odpowiada zyskowi z działalności operacyjnej pomniejszonemu o zaliczki dla klientów. Zob. skonsolidowane sprawozdanie finansowe za analogiczny okres kończący się w dniu 30 czerwca 2023 roku.</w:t>
      </w:r>
    </w:p>
  </w:footnote>
  <w:footnote w:id="3">
    <w:p w14:paraId="1786FC58" w14:textId="77777777" w:rsidR="004F7B33" w:rsidRPr="006179FA" w:rsidRDefault="00B719B6">
      <w:pPr>
        <w:pStyle w:val="Tekstprzypisudolnego"/>
      </w:pPr>
      <w:r>
        <w:rPr>
          <w:rStyle w:val="Odwoanieprzypisudolnego"/>
          <w:color w:val="A6A6A6" w:themeColor="background1" w:themeShade="A6"/>
          <w:sz w:val="16"/>
          <w:szCs w:val="16"/>
          <w:lang w:val="pl"/>
        </w:rPr>
        <w:footnoteRef/>
      </w:r>
      <w:r>
        <w:rPr>
          <w:lang w:val="pl"/>
        </w:rPr>
        <w:t xml:space="preserve"> </w:t>
      </w:r>
      <w:r>
        <w:rPr>
          <w:color w:val="A6A6A6" w:themeColor="background1" w:themeShade="A6"/>
          <w:sz w:val="16"/>
          <w:szCs w:val="16"/>
          <w:lang w:val="pl"/>
        </w:rPr>
        <w:t>Z wyłączeniem zobowiązań leasingowych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FFA1" w14:textId="77777777" w:rsidR="00447AFD" w:rsidRDefault="00B719B6" w:rsidP="00A143A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  <w:lang w:val="pl"/>
      </w:rPr>
      <w:fldChar w:fldCharType="begin"/>
    </w:r>
    <w:r>
      <w:rPr>
        <w:rStyle w:val="Numerstrony"/>
        <w:lang w:val="pl"/>
      </w:rPr>
      <w:instrText xml:space="preserve">PAGE  </w:instrText>
    </w:r>
    <w:r w:rsidR="00000000">
      <w:rPr>
        <w:rStyle w:val="Numerstrony"/>
        <w:lang w:val="pl"/>
      </w:rPr>
      <w:fldChar w:fldCharType="separate"/>
    </w:r>
    <w:r>
      <w:rPr>
        <w:rStyle w:val="Numerstrony"/>
        <w:lang w:val="pl"/>
      </w:rPr>
      <w:fldChar w:fldCharType="end"/>
    </w:r>
  </w:p>
  <w:p w14:paraId="02A0825B" w14:textId="77777777" w:rsidR="00447AFD" w:rsidRDefault="00447AFD" w:rsidP="00A143A2">
    <w:pPr>
      <w:pStyle w:val="Nagwek"/>
      <w:ind w:right="360"/>
      <w:rPr>
        <w:rStyle w:val="Numerstrony"/>
      </w:rPr>
    </w:pPr>
  </w:p>
  <w:p w14:paraId="62B59FBE" w14:textId="77777777" w:rsidR="00447AFD" w:rsidRDefault="00447AFD" w:rsidP="00767D38">
    <w:pPr>
      <w:pStyle w:val="Nagwek"/>
    </w:pPr>
  </w:p>
  <w:p w14:paraId="6CBE2F30" w14:textId="77777777" w:rsidR="00447AFD" w:rsidRDefault="00447AFD" w:rsidP="00767D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27CF" w14:textId="77777777" w:rsidR="00447AFD" w:rsidRDefault="00B719B6" w:rsidP="00F15947">
    <w:pPr>
      <w:pStyle w:val="Nagwek"/>
      <w:ind w:right="360"/>
      <w:rPr>
        <w:rStyle w:val="Numerstrony"/>
        <w:color w:val="003652"/>
        <w:sz w:val="18"/>
        <w:szCs w:val="18"/>
      </w:rPr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DBD883" wp14:editId="020E1108">
              <wp:simplePos x="0" y="0"/>
              <wp:positionH relativeFrom="column">
                <wp:posOffset>4249420</wp:posOffset>
              </wp:positionH>
              <wp:positionV relativeFrom="paragraph">
                <wp:posOffset>268605</wp:posOffset>
              </wp:positionV>
              <wp:extent cx="1630045" cy="243205"/>
              <wp:effectExtent l="0" t="0" r="8255" b="4445"/>
              <wp:wrapNone/>
              <wp:docPr id="7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004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FB050" w14:textId="26D45C5A" w:rsidR="00997176" w:rsidRPr="00ED53FE" w:rsidRDefault="00000000" w:rsidP="00997176">
                          <w:pPr>
                            <w:pStyle w:val="webcabecera"/>
                            <w:rPr>
                              <w:i w:val="0"/>
                              <w:iCs/>
                            </w:rPr>
                          </w:pPr>
                          <w:hyperlink r:id="rId1" w:history="1">
                            <w:r w:rsidR="004B1616">
                              <w:rPr>
                                <w:rStyle w:val="Hipercze"/>
                                <w:i w:val="0"/>
                                <w:lang w:val="pl"/>
                              </w:rPr>
                              <w:t>Aktualności – Cellnex</w:t>
                            </w:r>
                          </w:hyperlink>
                        </w:p>
                        <w:p w14:paraId="677BD210" w14:textId="77777777" w:rsidR="00447AFD" w:rsidRPr="00302334" w:rsidRDefault="00447AFD" w:rsidP="00A143A2">
                          <w:pPr>
                            <w:pStyle w:val="webcabecer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BD883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334.6pt;margin-top:21.15pt;width:128.3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zLTQIAABYFAAAOAAAAZHJzL2Uyb0RvYy54bWysVEtv2zAMvg/YfxB0X+2mDwxGnCJr0WFA&#10;0RZLh54VWUqMSaJGqbGzXz9KttOu26XDLjJN8fnxo+YXvTVspzC04Gp+fFRyppyEpnWbmn97uP7w&#10;kbMQhWuEAadqvleBXyzev5t3vlIz2IJpFDIK4kLV+ZpvY/RVUQS5VVaEI/DK0aUGtCLSL26KBkVH&#10;0a0pZmV5XnSAjUeQKgTSXg2XfJHja61kvNM6qMhMzam2mE/M5zqdxWIuqg0Kv23lWIb4hyqsaB0l&#10;PYS6ElGwJ2z/CGVbiRBAxyMJtgCtW6lyD9TNcfmqm9VWeJV7IXCCP8AU/l9Yebtb+Xtksf8EPQ0w&#10;AdL5UAVSpn56jTZ9qVJG9wTh/gCb6iOTyen8pCxPzziTdDc7PZmVZylM8eztMcTPCixLQs2RxpLR&#10;ErubEAfTySQlc3DdGpNHY9xvCoo5aFSe7ej9XHCW4t6o5GXcV6VZ2+S6kyKzSl0aZDtBfBBSKhdz&#10;yzkuWScrTbnf4jjaJ9ehqrc4HzxyZnDx4GxbB5hRelV2830qWQ/2BPWLvpMY+3U/DnINzZ7mizBQ&#10;P3h53dIQbkSI9wKJ6zRS2t94R4c20NUcRomzLeDPv+mTPVGQbjnraHdqHn48CVScmS+OyJkWbRJw&#10;EtaT4J7sJRD8x/QyeJlFcsBoJlEj2Eda62XKQlfCScpV8ziJl3HYYHoWpFousxGtkxfxxq28TKET&#10;nIlSD/2jQD/yLhJjb2HaKlG9ot9gO6I54Db+0PJlPo8PRdrul//Z6vk5W/wCAAD//wMAUEsDBBQA&#10;BgAIAAAAIQCDVcCQ3wAAAAkBAAAPAAAAZHJzL2Rvd25yZXYueG1sTI/BTsMwEETvSPyDtUjcqE0A&#10;qwlxqgrBCQmRhgNHJ94mVuN1iN02/D3mBMfVPM28LTeLG9kJ52A9KbhdCWBInTeWegUfzcvNGliI&#10;mowePaGCbwywqS4vSl0Yf6YaT7vYs1RCodAKhhingvPQDeh0WPkJKWV7Pzsd0zn33Mz6nMrdyDMh&#10;JHfaUloY9IRPA3aH3dEp2H5S/Wy/3tr3el/bpskFvcqDUtdXy/YRWMQl/sHwq5/UoUpOrT+SCWxU&#10;IGWeJVTBfXYHLAF59pADaxWshQRelfz/B9UPAAAA//8DAFBLAQItABQABgAIAAAAIQC2gziS/gAA&#10;AOEBAAATAAAAAAAAAAAAAAAAAAAAAABbQ29udGVudF9UeXBlc10ueG1sUEsBAi0AFAAGAAgAAAAh&#10;ADj9If/WAAAAlAEAAAsAAAAAAAAAAAAAAAAALwEAAF9yZWxzLy5yZWxzUEsBAi0AFAAGAAgAAAAh&#10;AAZ5HMtNAgAAFgUAAA4AAAAAAAAAAAAAAAAALgIAAGRycy9lMm9Eb2MueG1sUEsBAi0AFAAGAAgA&#10;AAAhAINVwJDfAAAACQEAAA8AAAAAAAAAAAAAAAAApwQAAGRycy9kb3ducmV2LnhtbFBLBQYAAAAA&#10;BAAEAPMAAACzBQAAAAA=&#10;" filled="f" stroked="f">
              <v:textbox inset="0,0,0,0">
                <w:txbxContent>
                  <w:p w14:paraId="73DFB050" w14:textId="26D45C5A" w:rsidR="00997176" w:rsidRPr="00ED53FE" w:rsidRDefault="00000000" w:rsidP="00997176">
                    <w:pPr>
                      <w:pStyle w:val="webcabecera"/>
                      <w:rPr>
                        <w:i w:val="0"/>
                        <w:iCs/>
                      </w:rPr>
                    </w:pPr>
                    <w:hyperlink r:id="rId2" w:history="1">
                      <w:r w:rsidR="004B1616">
                        <w:rPr>
                          <w:rStyle w:val="Hipercze"/>
                          <w:i w:val="0"/>
                          <w:lang w:val="pl"/>
                        </w:rPr>
                        <w:t>Aktualności – Cellnex</w:t>
                      </w:r>
                    </w:hyperlink>
                  </w:p>
                  <w:p w14:paraId="677BD210" w14:textId="77777777" w:rsidR="00447AFD" w:rsidRPr="00302334" w:rsidRDefault="00447AFD" w:rsidP="00A143A2">
                    <w:pPr>
                      <w:pStyle w:val="webcabecera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"/>
      </w:rPr>
      <w:drawing>
        <wp:anchor distT="0" distB="0" distL="114300" distR="114300" simplePos="0" relativeHeight="251662336" behindDoc="0" locked="0" layoutInCell="1" allowOverlap="1" wp14:anchorId="70B001B2" wp14:editId="2B3E06CC">
          <wp:simplePos x="0" y="0"/>
          <wp:positionH relativeFrom="page">
            <wp:posOffset>647700</wp:posOffset>
          </wp:positionH>
          <wp:positionV relativeFrom="page">
            <wp:posOffset>457201</wp:posOffset>
          </wp:positionV>
          <wp:extent cx="1723525" cy="641350"/>
          <wp:effectExtent l="0" t="0" r="0" b="6350"/>
          <wp:wrapNone/>
          <wp:docPr id="2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241895" name="Imagen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5332" cy="645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"/>
      </w:rPr>
      <w:t xml:space="preserve"> </w:t>
    </w:r>
  </w:p>
  <w:p w14:paraId="715511C1" w14:textId="77777777" w:rsidR="00447AFD" w:rsidRPr="00F15947" w:rsidRDefault="00447AFD" w:rsidP="00F15947">
    <w:pPr>
      <w:pStyle w:val="Nagwek"/>
      <w:ind w:right="360"/>
      <w:rPr>
        <w:color w:val="003652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BA0B" w14:textId="77777777" w:rsidR="00447AFD" w:rsidRDefault="00B719B6" w:rsidP="00D00512">
    <w:pPr>
      <w:pStyle w:val="Tekstprzypisudolnego"/>
      <w:jc w:val="both"/>
      <w:rPr>
        <w:rFonts w:ascii="Cambria" w:hAnsi="Cambria"/>
      </w:rPr>
    </w:pPr>
    <w:r>
      <w:rPr>
        <w:noProof/>
        <w:lang w:val="pl"/>
      </w:rPr>
      <w:drawing>
        <wp:anchor distT="0" distB="0" distL="114300" distR="114300" simplePos="0" relativeHeight="251661312" behindDoc="0" locked="0" layoutInCell="1" allowOverlap="1" wp14:anchorId="059797B4" wp14:editId="23A394D5">
          <wp:simplePos x="0" y="0"/>
          <wp:positionH relativeFrom="margin">
            <wp:align>left</wp:align>
          </wp:positionH>
          <wp:positionV relativeFrom="topMargin">
            <wp:posOffset>408305</wp:posOffset>
          </wp:positionV>
          <wp:extent cx="1714992" cy="638175"/>
          <wp:effectExtent l="0" t="0" r="0" b="0"/>
          <wp:wrapNone/>
          <wp:docPr id="2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019624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992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071D86" w14:textId="3C839697" w:rsidR="00447AFD" w:rsidRDefault="00FD3492" w:rsidP="00D00512">
    <w:pPr>
      <w:pStyle w:val="Tekstprzypisudolnego"/>
      <w:jc w:val="both"/>
      <w:rPr>
        <w:rFonts w:ascii="Cambria" w:hAnsi="Cambria"/>
      </w:rPr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3502D0" wp14:editId="4FB9A4E0">
              <wp:simplePos x="0" y="0"/>
              <wp:positionH relativeFrom="margin">
                <wp:posOffset>4116354</wp:posOffset>
              </wp:positionH>
              <wp:positionV relativeFrom="paragraph">
                <wp:posOffset>56288</wp:posOffset>
              </wp:positionV>
              <wp:extent cx="1757548" cy="405765"/>
              <wp:effectExtent l="0" t="0" r="0" b="0"/>
              <wp:wrapNone/>
              <wp:docPr id="111236644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7548" cy="4057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B8A990" w14:textId="10C6C8C5" w:rsidR="00FD3492" w:rsidRDefault="00FD3492" w:rsidP="00FD3492">
                          <w:pPr>
                            <w:spacing w:line="276" w:lineRule="auto"/>
                            <w:rPr>
                              <w:rFonts w:asciiTheme="minorHAnsi" w:hAnsiTheme="minorHAnsi" w:cstheme="minorHAnsi"/>
                              <w:color w:val="425563"/>
                              <w:sz w:val="40"/>
                              <w:szCs w:val="40"/>
                              <w:lang w:val="pl"/>
                            </w:rPr>
                          </w:pPr>
                          <w:r w:rsidRPr="00777887">
                            <w:rPr>
                              <w:rFonts w:asciiTheme="minorHAnsi" w:hAnsiTheme="minorHAnsi" w:cstheme="minorHAnsi"/>
                              <w:color w:val="425563"/>
                              <w:sz w:val="24"/>
                              <w:szCs w:val="24"/>
                              <w:lang w:val="pl"/>
                            </w:rPr>
                            <w:t>Informacja pras</w:t>
                          </w:r>
                          <w:r w:rsidR="00777887">
                            <w:rPr>
                              <w:rFonts w:asciiTheme="minorHAnsi" w:hAnsiTheme="minorHAnsi" w:cstheme="minorHAnsi"/>
                              <w:color w:val="425563"/>
                              <w:sz w:val="24"/>
                              <w:szCs w:val="24"/>
                              <w:lang w:val="pl"/>
                            </w:rPr>
                            <w:t>owa</w:t>
                          </w:r>
                        </w:p>
                        <w:p w14:paraId="3510FA38" w14:textId="77777777" w:rsidR="00777887" w:rsidRPr="00036F60" w:rsidRDefault="00777887" w:rsidP="00FD3492">
                          <w:pPr>
                            <w:spacing w:line="276" w:lineRule="auto"/>
                            <w:rPr>
                              <w:rFonts w:asciiTheme="minorHAnsi" w:hAnsiTheme="minorHAnsi" w:cstheme="minorHAnsi"/>
                              <w:color w:val="425563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502D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324.1pt;margin-top:4.45pt;width:138.4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JzHQIAADgEAAAOAAAAZHJzL2Uyb0RvYy54bWysU8Fu2zAMvQ/YPwi6L3a6JhmMOEWWIrsE&#10;bYF06FmR5diALGqUEjv7+lGyk3RdT8V8kCmRehTfI+d3XaPZUaGrweR8PEo5U0ZCUZt9zn8+r798&#10;48x5YQqhwaicn5Tjd4vPn+atzdQNVKALhYxAjMtam/PKe5sliZOVaoQbgVWGnCVgIzxtcZ8UKFpC&#10;b3Ryk6bTpAUsLIJUztHpfe/ki4hflkr6x7J0yjOdc3qbjyvGdRfWZDEX2R6FrWo5PEN84BWNqA0l&#10;vUDdCy/YAet/oJpaIjgo/UhCk0BZ1lLFGqiacfqmmm0lrIq1EDnOXmhy/w9WPhy39gmZ775DRwIG&#10;QlrrMkeHoZ6uxCb86aWM/ETh6UKb6jyT4dJsMpvcktCSfLfpZDadBJjketui8z8UNCwYOUeSJbIl&#10;jhvn+9BzSEjmQNfFutY6bk5upZEdBSlIwhfQcqaF83SY83X8hmx/XdOGtTmffp2kMZOBgNen0ibg&#10;qtgdQ/5rycHy3a5jdfGKjh0UJ2IJoW8gZ+W6plI29I4ngdQxRAxNgX+kpdRAmWGwOKsAf793HuJJ&#10;SPJy1lIH5tz9OghUnJlDswIqd0yzY2U0CR+9PpslQvNCjb8MCOQSRhJOzv3ZXPm+x2lwpFouYxA1&#10;nBV+Y7ZWBujAQSD9uXsRaAdlPGn6AOe+E9kbgfpYkjaw1HMybKg9o+LDKIX+f72PUdeBX/wBAAD/&#10;/wMAUEsDBBQABgAIAAAAIQDtnIyW4AAAAAgBAAAPAAAAZHJzL2Rvd25yZXYueG1sTI9BS8NAFITv&#10;gv9heYI3uzFoTWNeioiiBUNtKnjdJs8kmn0bdrdN7K93PelxmGHmm2w56V4cyLrOMMLlLAJBXJm6&#10;4wbhbft4kYBwXnGtesOE8E0OlvnpSabS2oy8oUPpGxFK2KUKofV+SKV0VUtauZkZiIP3YaxWPkjb&#10;yNqqMZTrXsZRNJdadRwWWjXQfUvVV7nXCO9j+WTXq9Xn6/BcHNfHsnihhwLx/Gy6uwXhafJ/YfjF&#10;D+iQB6ad2XPtRI8wv0riEEVIFiCCv4ivw7cdwk2cgMwz+f9A/gMAAP//AwBQSwECLQAUAAYACAAA&#10;ACEAtoM4kv4AAADhAQAAEwAAAAAAAAAAAAAAAAAAAAAAW0NvbnRlbnRfVHlwZXNdLnhtbFBLAQIt&#10;ABQABgAIAAAAIQA4/SH/1gAAAJQBAAALAAAAAAAAAAAAAAAAAC8BAABfcmVscy8ucmVsc1BLAQIt&#10;ABQABgAIAAAAIQBFUeJzHQIAADgEAAAOAAAAAAAAAAAAAAAAAC4CAABkcnMvZTJvRG9jLnhtbFBL&#10;AQItABQABgAIAAAAIQDtnIyW4AAAAAgBAAAPAAAAAAAAAAAAAAAAAHcEAABkcnMvZG93bnJldi54&#10;bWxQSwUGAAAAAAQABADzAAAAhAUAAAAA&#10;" fillcolor="window" stroked="f" strokeweight=".5pt">
              <v:textbox>
                <w:txbxContent>
                  <w:p w14:paraId="7DB8A990" w14:textId="10C6C8C5" w:rsidR="00FD3492" w:rsidRDefault="00FD3492" w:rsidP="00FD3492">
                    <w:pPr>
                      <w:spacing w:line="276" w:lineRule="auto"/>
                      <w:rPr>
                        <w:rFonts w:asciiTheme="minorHAnsi" w:hAnsiTheme="minorHAnsi" w:cstheme="minorHAnsi"/>
                        <w:color w:val="425563"/>
                        <w:sz w:val="40"/>
                        <w:szCs w:val="40"/>
                        <w:lang w:val="pl"/>
                      </w:rPr>
                    </w:pPr>
                    <w:r w:rsidRPr="00777887">
                      <w:rPr>
                        <w:rFonts w:asciiTheme="minorHAnsi" w:hAnsiTheme="minorHAnsi" w:cstheme="minorHAnsi"/>
                        <w:color w:val="425563"/>
                        <w:sz w:val="24"/>
                        <w:szCs w:val="24"/>
                        <w:lang w:val="pl"/>
                      </w:rPr>
                      <w:t>Informacja pras</w:t>
                    </w:r>
                    <w:r w:rsidR="00777887">
                      <w:rPr>
                        <w:rFonts w:asciiTheme="minorHAnsi" w:hAnsiTheme="minorHAnsi" w:cstheme="minorHAnsi"/>
                        <w:color w:val="425563"/>
                        <w:sz w:val="24"/>
                        <w:szCs w:val="24"/>
                        <w:lang w:val="pl"/>
                      </w:rPr>
                      <w:t>owa</w:t>
                    </w:r>
                  </w:p>
                  <w:p w14:paraId="3510FA38" w14:textId="77777777" w:rsidR="00777887" w:rsidRPr="00036F60" w:rsidRDefault="00777887" w:rsidP="00FD3492">
                    <w:pPr>
                      <w:spacing w:line="276" w:lineRule="auto"/>
                      <w:rPr>
                        <w:rFonts w:asciiTheme="minorHAnsi" w:hAnsiTheme="minorHAnsi" w:cstheme="minorHAnsi"/>
                        <w:color w:val="425563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2"/>
        <w:szCs w:val="22"/>
        <w:lang w:val="pl"/>
      </w:rPr>
      <w:drawing>
        <wp:anchor distT="0" distB="0" distL="114300" distR="114300" simplePos="0" relativeHeight="251658240" behindDoc="0" locked="0" layoutInCell="1" allowOverlap="1" wp14:anchorId="55916AF2" wp14:editId="46C0AF43">
          <wp:simplePos x="0" y="0"/>
          <wp:positionH relativeFrom="column">
            <wp:posOffset>4116070</wp:posOffset>
          </wp:positionH>
          <wp:positionV relativeFrom="paragraph">
            <wp:posOffset>53340</wp:posOffset>
          </wp:positionV>
          <wp:extent cx="1747520" cy="233680"/>
          <wp:effectExtent l="0" t="0" r="5080" b="0"/>
          <wp:wrapNone/>
          <wp:docPr id="2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256119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23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47C51" w14:textId="77777777" w:rsidR="00447AFD" w:rsidRDefault="00447AFD" w:rsidP="00D00512">
    <w:pPr>
      <w:pStyle w:val="Tekstprzypisudolnego"/>
      <w:jc w:val="both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80C"/>
    <w:multiLevelType w:val="hybridMultilevel"/>
    <w:tmpl w:val="936890A6"/>
    <w:lvl w:ilvl="0" w:tplc="85C2D18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69443E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C3C775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6F831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E482A5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ECC9FC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6ECAFC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204DF3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0B4345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EF43FD"/>
    <w:multiLevelType w:val="hybridMultilevel"/>
    <w:tmpl w:val="1CD0B8EA"/>
    <w:lvl w:ilvl="0" w:tplc="9A4CD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63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24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42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05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7E4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27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23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445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C66D9"/>
    <w:multiLevelType w:val="hybridMultilevel"/>
    <w:tmpl w:val="CA96777A"/>
    <w:lvl w:ilvl="0" w:tplc="6CDEF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8A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C8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E3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82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2F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62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21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C8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49AA"/>
    <w:multiLevelType w:val="hybridMultilevel"/>
    <w:tmpl w:val="A774A7AA"/>
    <w:lvl w:ilvl="0" w:tplc="0DC48AF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76E3D9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108CE0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736AB6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93ECA5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79424B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31E338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09CF80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8C4EC5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510EC2"/>
    <w:multiLevelType w:val="hybridMultilevel"/>
    <w:tmpl w:val="9F5057CA"/>
    <w:lvl w:ilvl="0" w:tplc="89563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0AF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4E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E17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09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D41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A6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23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ED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2299"/>
    <w:multiLevelType w:val="hybridMultilevel"/>
    <w:tmpl w:val="1C786B60"/>
    <w:lvl w:ilvl="0" w:tplc="DF7AE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84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2CA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AF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C3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C8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60B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48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43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47CEA"/>
    <w:multiLevelType w:val="hybridMultilevel"/>
    <w:tmpl w:val="FABECCEE"/>
    <w:lvl w:ilvl="0" w:tplc="2A2E986E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447A7636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5D20241A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6204B3AA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CC7160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D6E24478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ADC8EB0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73E0F548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894A4FC4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31985E1B"/>
    <w:multiLevelType w:val="hybridMultilevel"/>
    <w:tmpl w:val="0ADCE9B8"/>
    <w:lvl w:ilvl="0" w:tplc="75E8B8E8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352AF656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CA7C75B2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A22E70CE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E924A21E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3CAB1D4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951E1454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41C6A6A4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81DEB21A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355115E2"/>
    <w:multiLevelType w:val="hybridMultilevel"/>
    <w:tmpl w:val="8B802436"/>
    <w:lvl w:ilvl="0" w:tplc="DBF00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22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69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6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0B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C4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A4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E9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81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389E"/>
    <w:multiLevelType w:val="hybridMultilevel"/>
    <w:tmpl w:val="408E1AAE"/>
    <w:lvl w:ilvl="0" w:tplc="180AA4B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71EE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48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42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A6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C8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83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E1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83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A0695"/>
    <w:multiLevelType w:val="hybridMultilevel"/>
    <w:tmpl w:val="89BC626A"/>
    <w:lvl w:ilvl="0" w:tplc="199C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013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A1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E0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61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E2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6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C0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B05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2B52"/>
    <w:multiLevelType w:val="hybridMultilevel"/>
    <w:tmpl w:val="6E5646F2"/>
    <w:lvl w:ilvl="0" w:tplc="FA2CF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48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2F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4A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4C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89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CD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A1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80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B4B1B"/>
    <w:multiLevelType w:val="hybridMultilevel"/>
    <w:tmpl w:val="C65AFCBE"/>
    <w:lvl w:ilvl="0" w:tplc="EDFC6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2A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62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84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0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ED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26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0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60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F1718"/>
    <w:multiLevelType w:val="hybridMultilevel"/>
    <w:tmpl w:val="370C28B8"/>
    <w:lvl w:ilvl="0" w:tplc="89A62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A6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20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C6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23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CF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6F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02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762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7671E"/>
    <w:multiLevelType w:val="hybridMultilevel"/>
    <w:tmpl w:val="6EBA4FAE"/>
    <w:lvl w:ilvl="0" w:tplc="EFE24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24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8C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0E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2D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ED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45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8E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02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F7BAB"/>
    <w:multiLevelType w:val="hybridMultilevel"/>
    <w:tmpl w:val="A83E0286"/>
    <w:lvl w:ilvl="0" w:tplc="C3761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23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EC6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6A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A4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3AA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26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098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A8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63528"/>
    <w:multiLevelType w:val="hybridMultilevel"/>
    <w:tmpl w:val="EF180C72"/>
    <w:lvl w:ilvl="0" w:tplc="78B2E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0AE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49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C8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EBA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2A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A0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0D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09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44B2F"/>
    <w:multiLevelType w:val="hybridMultilevel"/>
    <w:tmpl w:val="1EFAA3B0"/>
    <w:lvl w:ilvl="0" w:tplc="AB625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A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38DF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40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E2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860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2F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4B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6B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76EE8"/>
    <w:multiLevelType w:val="hybridMultilevel"/>
    <w:tmpl w:val="2482E270"/>
    <w:lvl w:ilvl="0" w:tplc="CA00E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4A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92B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9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87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3E7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A7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84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1C4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442A0"/>
    <w:multiLevelType w:val="hybridMultilevel"/>
    <w:tmpl w:val="86BE99DC"/>
    <w:lvl w:ilvl="0" w:tplc="0936A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EB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125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E1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A4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8A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80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20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AF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C3C30"/>
    <w:multiLevelType w:val="hybridMultilevel"/>
    <w:tmpl w:val="AC04B9AC"/>
    <w:lvl w:ilvl="0" w:tplc="C0EA7D6A">
      <w:start w:val="1"/>
      <w:numFmt w:val="bullet"/>
      <w:pStyle w:val="Cuadrculamedia1-nfasis21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 w:tplc="B35C3F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7025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D8E4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A89B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72B6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C22D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DA56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E033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BE7D47"/>
    <w:multiLevelType w:val="hybridMultilevel"/>
    <w:tmpl w:val="CEC641A4"/>
    <w:lvl w:ilvl="0" w:tplc="3B188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AA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AEF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66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6E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0E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0D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E8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22F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16F51"/>
    <w:multiLevelType w:val="hybridMultilevel"/>
    <w:tmpl w:val="80D27B66"/>
    <w:lvl w:ilvl="0" w:tplc="EE5CC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66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121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28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9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C5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2B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E0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8B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25AEF"/>
    <w:multiLevelType w:val="hybridMultilevel"/>
    <w:tmpl w:val="92AC6794"/>
    <w:lvl w:ilvl="0" w:tplc="A43E6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CE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CE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0E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E8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42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C8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2B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901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B6911"/>
    <w:multiLevelType w:val="hybridMultilevel"/>
    <w:tmpl w:val="155A5F88"/>
    <w:lvl w:ilvl="0" w:tplc="755E3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E74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24C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29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AA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CC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C6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E9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CA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81551">
    <w:abstractNumId w:val="20"/>
  </w:num>
  <w:num w:numId="2" w16cid:durableId="2041079908">
    <w:abstractNumId w:val="7"/>
  </w:num>
  <w:num w:numId="3" w16cid:durableId="525678780">
    <w:abstractNumId w:val="9"/>
  </w:num>
  <w:num w:numId="4" w16cid:durableId="975840170">
    <w:abstractNumId w:val="15"/>
  </w:num>
  <w:num w:numId="5" w16cid:durableId="734426727">
    <w:abstractNumId w:val="24"/>
  </w:num>
  <w:num w:numId="6" w16cid:durableId="822352498">
    <w:abstractNumId w:val="16"/>
  </w:num>
  <w:num w:numId="7" w16cid:durableId="794444013">
    <w:abstractNumId w:val="2"/>
  </w:num>
  <w:num w:numId="8" w16cid:durableId="58284345">
    <w:abstractNumId w:val="4"/>
  </w:num>
  <w:num w:numId="9" w16cid:durableId="530461579">
    <w:abstractNumId w:val="22"/>
  </w:num>
  <w:num w:numId="10" w16cid:durableId="410588995">
    <w:abstractNumId w:val="0"/>
  </w:num>
  <w:num w:numId="11" w16cid:durableId="520629879">
    <w:abstractNumId w:val="3"/>
  </w:num>
  <w:num w:numId="12" w16cid:durableId="355547466">
    <w:abstractNumId w:val="1"/>
  </w:num>
  <w:num w:numId="13" w16cid:durableId="1713769165">
    <w:abstractNumId w:val="17"/>
  </w:num>
  <w:num w:numId="14" w16cid:durableId="597828544">
    <w:abstractNumId w:val="10"/>
  </w:num>
  <w:num w:numId="15" w16cid:durableId="1606501622">
    <w:abstractNumId w:val="8"/>
  </w:num>
  <w:num w:numId="16" w16cid:durableId="839345899">
    <w:abstractNumId w:val="13"/>
  </w:num>
  <w:num w:numId="17" w16cid:durableId="731347246">
    <w:abstractNumId w:val="6"/>
  </w:num>
  <w:num w:numId="18" w16cid:durableId="248126138">
    <w:abstractNumId w:val="18"/>
  </w:num>
  <w:num w:numId="19" w16cid:durableId="300310132">
    <w:abstractNumId w:val="12"/>
  </w:num>
  <w:num w:numId="20" w16cid:durableId="716202724">
    <w:abstractNumId w:val="14"/>
  </w:num>
  <w:num w:numId="21" w16cid:durableId="1085613011">
    <w:abstractNumId w:val="11"/>
  </w:num>
  <w:num w:numId="22" w16cid:durableId="70977127">
    <w:abstractNumId w:val="19"/>
  </w:num>
  <w:num w:numId="23" w16cid:durableId="1295452012">
    <w:abstractNumId w:val="5"/>
  </w:num>
  <w:num w:numId="24" w16cid:durableId="1527216089">
    <w:abstractNumId w:val="23"/>
  </w:num>
  <w:num w:numId="25" w16cid:durableId="1686860765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aveSubsetFonts/>
  <w:hideGrammaticalErrors/>
  <w:proofState w:spelling="clean"/>
  <w:attachedTemplate r:id="rId1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48"/>
    <w:rsid w:val="00000D89"/>
    <w:rsid w:val="000021C9"/>
    <w:rsid w:val="00002F9F"/>
    <w:rsid w:val="0000351C"/>
    <w:rsid w:val="00003F91"/>
    <w:rsid w:val="00004E0F"/>
    <w:rsid w:val="00005FCD"/>
    <w:rsid w:val="000073AD"/>
    <w:rsid w:val="000077AC"/>
    <w:rsid w:val="00011EF6"/>
    <w:rsid w:val="00012A54"/>
    <w:rsid w:val="000142DE"/>
    <w:rsid w:val="00014DC8"/>
    <w:rsid w:val="00014E9D"/>
    <w:rsid w:val="000165E3"/>
    <w:rsid w:val="00017EF4"/>
    <w:rsid w:val="000203B1"/>
    <w:rsid w:val="00020D5B"/>
    <w:rsid w:val="00020E5C"/>
    <w:rsid w:val="00021DFF"/>
    <w:rsid w:val="00023617"/>
    <w:rsid w:val="0002391A"/>
    <w:rsid w:val="000247E9"/>
    <w:rsid w:val="00025E50"/>
    <w:rsid w:val="00026FB8"/>
    <w:rsid w:val="0002720F"/>
    <w:rsid w:val="00027946"/>
    <w:rsid w:val="00027BB4"/>
    <w:rsid w:val="00030729"/>
    <w:rsid w:val="0003079D"/>
    <w:rsid w:val="000314A8"/>
    <w:rsid w:val="00032F49"/>
    <w:rsid w:val="000333F5"/>
    <w:rsid w:val="000368CD"/>
    <w:rsid w:val="00036FDC"/>
    <w:rsid w:val="0003740B"/>
    <w:rsid w:val="0003765C"/>
    <w:rsid w:val="0004087C"/>
    <w:rsid w:val="000409D7"/>
    <w:rsid w:val="0004193B"/>
    <w:rsid w:val="0004207D"/>
    <w:rsid w:val="0004336F"/>
    <w:rsid w:val="00043D5E"/>
    <w:rsid w:val="00044F61"/>
    <w:rsid w:val="00045B33"/>
    <w:rsid w:val="00046838"/>
    <w:rsid w:val="0005266F"/>
    <w:rsid w:val="000541B0"/>
    <w:rsid w:val="00055BDB"/>
    <w:rsid w:val="00055CFB"/>
    <w:rsid w:val="00055DC4"/>
    <w:rsid w:val="00055EF2"/>
    <w:rsid w:val="00056020"/>
    <w:rsid w:val="00056769"/>
    <w:rsid w:val="000578CC"/>
    <w:rsid w:val="000603BF"/>
    <w:rsid w:val="000603D9"/>
    <w:rsid w:val="000613D3"/>
    <w:rsid w:val="00061D3E"/>
    <w:rsid w:val="000624A3"/>
    <w:rsid w:val="00063980"/>
    <w:rsid w:val="00064A9E"/>
    <w:rsid w:val="0006553F"/>
    <w:rsid w:val="00066698"/>
    <w:rsid w:val="00070F82"/>
    <w:rsid w:val="0007247B"/>
    <w:rsid w:val="00072E27"/>
    <w:rsid w:val="00072FBA"/>
    <w:rsid w:val="0007328E"/>
    <w:rsid w:val="000735F9"/>
    <w:rsid w:val="00073F3A"/>
    <w:rsid w:val="000763A8"/>
    <w:rsid w:val="000768D0"/>
    <w:rsid w:val="00077FB7"/>
    <w:rsid w:val="00081168"/>
    <w:rsid w:val="000825BB"/>
    <w:rsid w:val="00084669"/>
    <w:rsid w:val="000847FD"/>
    <w:rsid w:val="000857FF"/>
    <w:rsid w:val="00085BFC"/>
    <w:rsid w:val="00086A78"/>
    <w:rsid w:val="0009202C"/>
    <w:rsid w:val="000933D1"/>
    <w:rsid w:val="0009480D"/>
    <w:rsid w:val="000952CB"/>
    <w:rsid w:val="000973BD"/>
    <w:rsid w:val="00097689"/>
    <w:rsid w:val="000976AD"/>
    <w:rsid w:val="000A0046"/>
    <w:rsid w:val="000A02F5"/>
    <w:rsid w:val="000A0A58"/>
    <w:rsid w:val="000A2730"/>
    <w:rsid w:val="000A2C74"/>
    <w:rsid w:val="000A4BA1"/>
    <w:rsid w:val="000A68B0"/>
    <w:rsid w:val="000A6DE7"/>
    <w:rsid w:val="000A7A7A"/>
    <w:rsid w:val="000A7B6F"/>
    <w:rsid w:val="000B0515"/>
    <w:rsid w:val="000B299C"/>
    <w:rsid w:val="000B3708"/>
    <w:rsid w:val="000B42C3"/>
    <w:rsid w:val="000B4F80"/>
    <w:rsid w:val="000B663A"/>
    <w:rsid w:val="000B716D"/>
    <w:rsid w:val="000B7A49"/>
    <w:rsid w:val="000B7FF3"/>
    <w:rsid w:val="000C1074"/>
    <w:rsid w:val="000C1F1F"/>
    <w:rsid w:val="000C22D3"/>
    <w:rsid w:val="000C40C4"/>
    <w:rsid w:val="000C6ACB"/>
    <w:rsid w:val="000C7083"/>
    <w:rsid w:val="000C7FC8"/>
    <w:rsid w:val="000D2018"/>
    <w:rsid w:val="000D462A"/>
    <w:rsid w:val="000D53F2"/>
    <w:rsid w:val="000D719B"/>
    <w:rsid w:val="000D7F3B"/>
    <w:rsid w:val="000E1966"/>
    <w:rsid w:val="000E2798"/>
    <w:rsid w:val="000E2EC6"/>
    <w:rsid w:val="000E2FE0"/>
    <w:rsid w:val="000E325C"/>
    <w:rsid w:val="000E3D87"/>
    <w:rsid w:val="000E492B"/>
    <w:rsid w:val="000E4DF4"/>
    <w:rsid w:val="000E769F"/>
    <w:rsid w:val="000E7F17"/>
    <w:rsid w:val="000F051D"/>
    <w:rsid w:val="000F0D9A"/>
    <w:rsid w:val="000F2058"/>
    <w:rsid w:val="000F5B8B"/>
    <w:rsid w:val="000F6450"/>
    <w:rsid w:val="000F660A"/>
    <w:rsid w:val="00100D9D"/>
    <w:rsid w:val="00100E24"/>
    <w:rsid w:val="00101B60"/>
    <w:rsid w:val="00102728"/>
    <w:rsid w:val="00103374"/>
    <w:rsid w:val="0010393A"/>
    <w:rsid w:val="00104563"/>
    <w:rsid w:val="00104A0F"/>
    <w:rsid w:val="00104B37"/>
    <w:rsid w:val="00105304"/>
    <w:rsid w:val="00107BAD"/>
    <w:rsid w:val="00107BE7"/>
    <w:rsid w:val="00110621"/>
    <w:rsid w:val="00111C73"/>
    <w:rsid w:val="00114761"/>
    <w:rsid w:val="00114826"/>
    <w:rsid w:val="00114A3C"/>
    <w:rsid w:val="00114C2E"/>
    <w:rsid w:val="00115FB1"/>
    <w:rsid w:val="0011614C"/>
    <w:rsid w:val="001223A9"/>
    <w:rsid w:val="00122E87"/>
    <w:rsid w:val="00123239"/>
    <w:rsid w:val="00123B4F"/>
    <w:rsid w:val="00124F01"/>
    <w:rsid w:val="0012599E"/>
    <w:rsid w:val="00127089"/>
    <w:rsid w:val="00127503"/>
    <w:rsid w:val="00131ED1"/>
    <w:rsid w:val="001329F7"/>
    <w:rsid w:val="00133006"/>
    <w:rsid w:val="00133FF5"/>
    <w:rsid w:val="00136CBC"/>
    <w:rsid w:val="001370FE"/>
    <w:rsid w:val="00137EB5"/>
    <w:rsid w:val="0014005B"/>
    <w:rsid w:val="001416E0"/>
    <w:rsid w:val="00141E6D"/>
    <w:rsid w:val="00142879"/>
    <w:rsid w:val="00146E44"/>
    <w:rsid w:val="0014787A"/>
    <w:rsid w:val="00147A42"/>
    <w:rsid w:val="00147F49"/>
    <w:rsid w:val="00152476"/>
    <w:rsid w:val="001533A6"/>
    <w:rsid w:val="00154B39"/>
    <w:rsid w:val="00155CDD"/>
    <w:rsid w:val="00155F00"/>
    <w:rsid w:val="00157B50"/>
    <w:rsid w:val="001607A2"/>
    <w:rsid w:val="00160B01"/>
    <w:rsid w:val="00161344"/>
    <w:rsid w:val="00162590"/>
    <w:rsid w:val="00163D71"/>
    <w:rsid w:val="001648C2"/>
    <w:rsid w:val="00174630"/>
    <w:rsid w:val="001758BC"/>
    <w:rsid w:val="00175B3D"/>
    <w:rsid w:val="001765AF"/>
    <w:rsid w:val="00180DBD"/>
    <w:rsid w:val="0018164C"/>
    <w:rsid w:val="00181EBC"/>
    <w:rsid w:val="00183990"/>
    <w:rsid w:val="0018411C"/>
    <w:rsid w:val="00184CE0"/>
    <w:rsid w:val="00186DD0"/>
    <w:rsid w:val="00186FC4"/>
    <w:rsid w:val="00187BF8"/>
    <w:rsid w:val="00190562"/>
    <w:rsid w:val="0019074B"/>
    <w:rsid w:val="00190AE5"/>
    <w:rsid w:val="001915F4"/>
    <w:rsid w:val="00191BAC"/>
    <w:rsid w:val="00192161"/>
    <w:rsid w:val="00192D44"/>
    <w:rsid w:val="00192EA1"/>
    <w:rsid w:val="00193645"/>
    <w:rsid w:val="00197223"/>
    <w:rsid w:val="001A1B93"/>
    <w:rsid w:val="001A2537"/>
    <w:rsid w:val="001A2826"/>
    <w:rsid w:val="001A2A12"/>
    <w:rsid w:val="001A4D47"/>
    <w:rsid w:val="001A4FD4"/>
    <w:rsid w:val="001A51DE"/>
    <w:rsid w:val="001A62C4"/>
    <w:rsid w:val="001A65FE"/>
    <w:rsid w:val="001B0A4F"/>
    <w:rsid w:val="001B2C01"/>
    <w:rsid w:val="001B37E5"/>
    <w:rsid w:val="001B397B"/>
    <w:rsid w:val="001B6207"/>
    <w:rsid w:val="001B6FFE"/>
    <w:rsid w:val="001C0013"/>
    <w:rsid w:val="001C538E"/>
    <w:rsid w:val="001C6C19"/>
    <w:rsid w:val="001C6FEA"/>
    <w:rsid w:val="001C7668"/>
    <w:rsid w:val="001D0CF9"/>
    <w:rsid w:val="001D0D63"/>
    <w:rsid w:val="001D1D28"/>
    <w:rsid w:val="001D246B"/>
    <w:rsid w:val="001D3A66"/>
    <w:rsid w:val="001D41BF"/>
    <w:rsid w:val="001D5958"/>
    <w:rsid w:val="001D79F9"/>
    <w:rsid w:val="001D7BBE"/>
    <w:rsid w:val="001E1B60"/>
    <w:rsid w:val="001E2964"/>
    <w:rsid w:val="001E4403"/>
    <w:rsid w:val="001E4C57"/>
    <w:rsid w:val="001E591A"/>
    <w:rsid w:val="001E610A"/>
    <w:rsid w:val="001E698A"/>
    <w:rsid w:val="001E730F"/>
    <w:rsid w:val="001E7596"/>
    <w:rsid w:val="001F2C4B"/>
    <w:rsid w:val="001F3751"/>
    <w:rsid w:val="001F3782"/>
    <w:rsid w:val="001F4332"/>
    <w:rsid w:val="001F452A"/>
    <w:rsid w:val="001F45F5"/>
    <w:rsid w:val="001F5949"/>
    <w:rsid w:val="001F7BAA"/>
    <w:rsid w:val="00200158"/>
    <w:rsid w:val="002001F7"/>
    <w:rsid w:val="00200474"/>
    <w:rsid w:val="00200C75"/>
    <w:rsid w:val="00201956"/>
    <w:rsid w:val="00203563"/>
    <w:rsid w:val="00203D8B"/>
    <w:rsid w:val="002046FA"/>
    <w:rsid w:val="00204A77"/>
    <w:rsid w:val="00204E38"/>
    <w:rsid w:val="002067A2"/>
    <w:rsid w:val="0021107F"/>
    <w:rsid w:val="002122C4"/>
    <w:rsid w:val="0021295B"/>
    <w:rsid w:val="00213FF5"/>
    <w:rsid w:val="00214805"/>
    <w:rsid w:val="00214BC7"/>
    <w:rsid w:val="00216264"/>
    <w:rsid w:val="00221B2D"/>
    <w:rsid w:val="00221CD6"/>
    <w:rsid w:val="002233BC"/>
    <w:rsid w:val="00223B69"/>
    <w:rsid w:val="00224ABB"/>
    <w:rsid w:val="0022507F"/>
    <w:rsid w:val="00225A44"/>
    <w:rsid w:val="00225C61"/>
    <w:rsid w:val="00227F7B"/>
    <w:rsid w:val="0023316A"/>
    <w:rsid w:val="00233777"/>
    <w:rsid w:val="00233AB6"/>
    <w:rsid w:val="00235B75"/>
    <w:rsid w:val="00235C04"/>
    <w:rsid w:val="00236131"/>
    <w:rsid w:val="002427B3"/>
    <w:rsid w:val="002457C6"/>
    <w:rsid w:val="0025287A"/>
    <w:rsid w:val="00256351"/>
    <w:rsid w:val="002579AC"/>
    <w:rsid w:val="002604C8"/>
    <w:rsid w:val="00261512"/>
    <w:rsid w:val="0026285E"/>
    <w:rsid w:val="00266C07"/>
    <w:rsid w:val="00266EDB"/>
    <w:rsid w:val="00267969"/>
    <w:rsid w:val="0027135D"/>
    <w:rsid w:val="00271EF1"/>
    <w:rsid w:val="00271FDB"/>
    <w:rsid w:val="00272182"/>
    <w:rsid w:val="00273580"/>
    <w:rsid w:val="00275B74"/>
    <w:rsid w:val="0027617F"/>
    <w:rsid w:val="0027778D"/>
    <w:rsid w:val="00277DA1"/>
    <w:rsid w:val="00280096"/>
    <w:rsid w:val="00280F53"/>
    <w:rsid w:val="00281F64"/>
    <w:rsid w:val="002831F0"/>
    <w:rsid w:val="00283254"/>
    <w:rsid w:val="00284677"/>
    <w:rsid w:val="00284695"/>
    <w:rsid w:val="0028619C"/>
    <w:rsid w:val="002862AD"/>
    <w:rsid w:val="002875DF"/>
    <w:rsid w:val="0029006E"/>
    <w:rsid w:val="00290D99"/>
    <w:rsid w:val="00291925"/>
    <w:rsid w:val="00293EDD"/>
    <w:rsid w:val="00294DFC"/>
    <w:rsid w:val="00296270"/>
    <w:rsid w:val="0029705E"/>
    <w:rsid w:val="002A0180"/>
    <w:rsid w:val="002A18F2"/>
    <w:rsid w:val="002A1E28"/>
    <w:rsid w:val="002A20F1"/>
    <w:rsid w:val="002A2815"/>
    <w:rsid w:val="002A48A0"/>
    <w:rsid w:val="002A4E2A"/>
    <w:rsid w:val="002A5B0B"/>
    <w:rsid w:val="002A6E62"/>
    <w:rsid w:val="002B025B"/>
    <w:rsid w:val="002B046E"/>
    <w:rsid w:val="002B4F34"/>
    <w:rsid w:val="002B57D1"/>
    <w:rsid w:val="002B64A8"/>
    <w:rsid w:val="002B767C"/>
    <w:rsid w:val="002B7987"/>
    <w:rsid w:val="002C04CC"/>
    <w:rsid w:val="002C05ED"/>
    <w:rsid w:val="002C0879"/>
    <w:rsid w:val="002C10BF"/>
    <w:rsid w:val="002C17C0"/>
    <w:rsid w:val="002C1BD3"/>
    <w:rsid w:val="002C1E33"/>
    <w:rsid w:val="002C2FD3"/>
    <w:rsid w:val="002C35FE"/>
    <w:rsid w:val="002C3FEA"/>
    <w:rsid w:val="002C405E"/>
    <w:rsid w:val="002C48B0"/>
    <w:rsid w:val="002C5AE3"/>
    <w:rsid w:val="002D2A31"/>
    <w:rsid w:val="002D3123"/>
    <w:rsid w:val="002D3B1B"/>
    <w:rsid w:val="002D41CB"/>
    <w:rsid w:val="002D461A"/>
    <w:rsid w:val="002D4AFD"/>
    <w:rsid w:val="002D4C5E"/>
    <w:rsid w:val="002D5328"/>
    <w:rsid w:val="002D72DF"/>
    <w:rsid w:val="002E090A"/>
    <w:rsid w:val="002E0B23"/>
    <w:rsid w:val="002E0CFF"/>
    <w:rsid w:val="002E1CB3"/>
    <w:rsid w:val="002E2046"/>
    <w:rsid w:val="002E29A0"/>
    <w:rsid w:val="002E2CAB"/>
    <w:rsid w:val="002E5AEB"/>
    <w:rsid w:val="002F1CCB"/>
    <w:rsid w:val="002F4074"/>
    <w:rsid w:val="002F578C"/>
    <w:rsid w:val="002F5874"/>
    <w:rsid w:val="002F646B"/>
    <w:rsid w:val="002F6A53"/>
    <w:rsid w:val="00300C3F"/>
    <w:rsid w:val="00302334"/>
    <w:rsid w:val="003039ED"/>
    <w:rsid w:val="00304498"/>
    <w:rsid w:val="00304B26"/>
    <w:rsid w:val="00305861"/>
    <w:rsid w:val="003060DA"/>
    <w:rsid w:val="00306593"/>
    <w:rsid w:val="0030683B"/>
    <w:rsid w:val="00306D82"/>
    <w:rsid w:val="00311472"/>
    <w:rsid w:val="00311A6E"/>
    <w:rsid w:val="00311CD9"/>
    <w:rsid w:val="00312379"/>
    <w:rsid w:val="00312B46"/>
    <w:rsid w:val="00314D3F"/>
    <w:rsid w:val="003166AD"/>
    <w:rsid w:val="00316A0C"/>
    <w:rsid w:val="0032140C"/>
    <w:rsid w:val="003245EE"/>
    <w:rsid w:val="00324671"/>
    <w:rsid w:val="003252EA"/>
    <w:rsid w:val="0032625F"/>
    <w:rsid w:val="00326D51"/>
    <w:rsid w:val="00327289"/>
    <w:rsid w:val="00330522"/>
    <w:rsid w:val="00330979"/>
    <w:rsid w:val="00330D4A"/>
    <w:rsid w:val="003311C5"/>
    <w:rsid w:val="00331EEB"/>
    <w:rsid w:val="00332AFD"/>
    <w:rsid w:val="00332C5E"/>
    <w:rsid w:val="00334B90"/>
    <w:rsid w:val="00335B4A"/>
    <w:rsid w:val="00335D5C"/>
    <w:rsid w:val="003362C9"/>
    <w:rsid w:val="00340AE7"/>
    <w:rsid w:val="00340BC3"/>
    <w:rsid w:val="00341D69"/>
    <w:rsid w:val="00343237"/>
    <w:rsid w:val="00343E44"/>
    <w:rsid w:val="00344E13"/>
    <w:rsid w:val="00347DC6"/>
    <w:rsid w:val="003504AE"/>
    <w:rsid w:val="00350527"/>
    <w:rsid w:val="00350908"/>
    <w:rsid w:val="003514DD"/>
    <w:rsid w:val="00352018"/>
    <w:rsid w:val="00352ADA"/>
    <w:rsid w:val="00353031"/>
    <w:rsid w:val="0035306B"/>
    <w:rsid w:val="0035462E"/>
    <w:rsid w:val="0035551E"/>
    <w:rsid w:val="003559E7"/>
    <w:rsid w:val="00355BC5"/>
    <w:rsid w:val="00356CA8"/>
    <w:rsid w:val="003570DA"/>
    <w:rsid w:val="003573D6"/>
    <w:rsid w:val="003578EC"/>
    <w:rsid w:val="003603D6"/>
    <w:rsid w:val="0036062C"/>
    <w:rsid w:val="00361F92"/>
    <w:rsid w:val="00363D71"/>
    <w:rsid w:val="00363F6B"/>
    <w:rsid w:val="00364985"/>
    <w:rsid w:val="00364E62"/>
    <w:rsid w:val="00365306"/>
    <w:rsid w:val="003659BC"/>
    <w:rsid w:val="0036650D"/>
    <w:rsid w:val="00366B56"/>
    <w:rsid w:val="00367367"/>
    <w:rsid w:val="00367796"/>
    <w:rsid w:val="00367A82"/>
    <w:rsid w:val="00367A97"/>
    <w:rsid w:val="00371648"/>
    <w:rsid w:val="003717A9"/>
    <w:rsid w:val="003723B6"/>
    <w:rsid w:val="0037285C"/>
    <w:rsid w:val="00373645"/>
    <w:rsid w:val="003740CA"/>
    <w:rsid w:val="00375147"/>
    <w:rsid w:val="00375199"/>
    <w:rsid w:val="00375C23"/>
    <w:rsid w:val="003761D3"/>
    <w:rsid w:val="003767F3"/>
    <w:rsid w:val="00376815"/>
    <w:rsid w:val="00376D47"/>
    <w:rsid w:val="00376DE7"/>
    <w:rsid w:val="00377329"/>
    <w:rsid w:val="003813FE"/>
    <w:rsid w:val="00381712"/>
    <w:rsid w:val="00383308"/>
    <w:rsid w:val="00384324"/>
    <w:rsid w:val="00385EC4"/>
    <w:rsid w:val="00386391"/>
    <w:rsid w:val="00386BB5"/>
    <w:rsid w:val="00387A1B"/>
    <w:rsid w:val="00390D84"/>
    <w:rsid w:val="00393555"/>
    <w:rsid w:val="003938B5"/>
    <w:rsid w:val="00394553"/>
    <w:rsid w:val="00397363"/>
    <w:rsid w:val="00397FB5"/>
    <w:rsid w:val="003A1307"/>
    <w:rsid w:val="003A1875"/>
    <w:rsid w:val="003A292C"/>
    <w:rsid w:val="003A2D0C"/>
    <w:rsid w:val="003A4FDE"/>
    <w:rsid w:val="003A5107"/>
    <w:rsid w:val="003A6D59"/>
    <w:rsid w:val="003A7563"/>
    <w:rsid w:val="003A7784"/>
    <w:rsid w:val="003B0C97"/>
    <w:rsid w:val="003B0D80"/>
    <w:rsid w:val="003B0E56"/>
    <w:rsid w:val="003B0F8B"/>
    <w:rsid w:val="003B14FF"/>
    <w:rsid w:val="003B2FAF"/>
    <w:rsid w:val="003B3012"/>
    <w:rsid w:val="003B3375"/>
    <w:rsid w:val="003B3F20"/>
    <w:rsid w:val="003B5406"/>
    <w:rsid w:val="003B5D67"/>
    <w:rsid w:val="003B6848"/>
    <w:rsid w:val="003B7149"/>
    <w:rsid w:val="003B71F3"/>
    <w:rsid w:val="003B7376"/>
    <w:rsid w:val="003B74E8"/>
    <w:rsid w:val="003C0722"/>
    <w:rsid w:val="003C199A"/>
    <w:rsid w:val="003C29BB"/>
    <w:rsid w:val="003C3EB4"/>
    <w:rsid w:val="003C6ABC"/>
    <w:rsid w:val="003D095B"/>
    <w:rsid w:val="003D0C70"/>
    <w:rsid w:val="003D166B"/>
    <w:rsid w:val="003D187E"/>
    <w:rsid w:val="003D2483"/>
    <w:rsid w:val="003D3071"/>
    <w:rsid w:val="003D3E98"/>
    <w:rsid w:val="003D4CB5"/>
    <w:rsid w:val="003D58DF"/>
    <w:rsid w:val="003D62FA"/>
    <w:rsid w:val="003D695E"/>
    <w:rsid w:val="003D767A"/>
    <w:rsid w:val="003E01B5"/>
    <w:rsid w:val="003E03F0"/>
    <w:rsid w:val="003E4377"/>
    <w:rsid w:val="003E5255"/>
    <w:rsid w:val="003E67CA"/>
    <w:rsid w:val="003E71FA"/>
    <w:rsid w:val="003E7CAC"/>
    <w:rsid w:val="003F12B7"/>
    <w:rsid w:val="003F2F6C"/>
    <w:rsid w:val="003F3365"/>
    <w:rsid w:val="003F38C5"/>
    <w:rsid w:val="003F4EB7"/>
    <w:rsid w:val="003F560C"/>
    <w:rsid w:val="003F59A0"/>
    <w:rsid w:val="003F6054"/>
    <w:rsid w:val="003F68B4"/>
    <w:rsid w:val="003F7F28"/>
    <w:rsid w:val="004001DC"/>
    <w:rsid w:val="00400724"/>
    <w:rsid w:val="004014C7"/>
    <w:rsid w:val="00401C53"/>
    <w:rsid w:val="0040247C"/>
    <w:rsid w:val="0040355D"/>
    <w:rsid w:val="0040463C"/>
    <w:rsid w:val="00404767"/>
    <w:rsid w:val="00404A0F"/>
    <w:rsid w:val="00406D2A"/>
    <w:rsid w:val="0040712D"/>
    <w:rsid w:val="00410E0F"/>
    <w:rsid w:val="00414076"/>
    <w:rsid w:val="00414D84"/>
    <w:rsid w:val="0041579B"/>
    <w:rsid w:val="00415C02"/>
    <w:rsid w:val="00416820"/>
    <w:rsid w:val="00416A50"/>
    <w:rsid w:val="00417037"/>
    <w:rsid w:val="00417A5C"/>
    <w:rsid w:val="00417FC2"/>
    <w:rsid w:val="0042026F"/>
    <w:rsid w:val="00420DF7"/>
    <w:rsid w:val="00422439"/>
    <w:rsid w:val="00422BB1"/>
    <w:rsid w:val="00422CDC"/>
    <w:rsid w:val="00422FD4"/>
    <w:rsid w:val="0042496A"/>
    <w:rsid w:val="00425270"/>
    <w:rsid w:val="00425F14"/>
    <w:rsid w:val="00426E04"/>
    <w:rsid w:val="00427162"/>
    <w:rsid w:val="00427398"/>
    <w:rsid w:val="00431D39"/>
    <w:rsid w:val="00434728"/>
    <w:rsid w:val="00434AF3"/>
    <w:rsid w:val="00434C9B"/>
    <w:rsid w:val="00434E18"/>
    <w:rsid w:val="0043510A"/>
    <w:rsid w:val="0043531E"/>
    <w:rsid w:val="00435EE5"/>
    <w:rsid w:val="00437FD4"/>
    <w:rsid w:val="004402A6"/>
    <w:rsid w:val="00443570"/>
    <w:rsid w:val="00444A2A"/>
    <w:rsid w:val="00445C34"/>
    <w:rsid w:val="0044772F"/>
    <w:rsid w:val="004477C7"/>
    <w:rsid w:val="00447AFD"/>
    <w:rsid w:val="00451137"/>
    <w:rsid w:val="004513F8"/>
    <w:rsid w:val="00452C3A"/>
    <w:rsid w:val="004537F9"/>
    <w:rsid w:val="00453D0F"/>
    <w:rsid w:val="00454B5A"/>
    <w:rsid w:val="00454FEA"/>
    <w:rsid w:val="0045684B"/>
    <w:rsid w:val="004601DB"/>
    <w:rsid w:val="00462530"/>
    <w:rsid w:val="00463A6A"/>
    <w:rsid w:val="00463E3D"/>
    <w:rsid w:val="00464497"/>
    <w:rsid w:val="0046464F"/>
    <w:rsid w:val="00464701"/>
    <w:rsid w:val="00464A56"/>
    <w:rsid w:val="00465DC9"/>
    <w:rsid w:val="00466635"/>
    <w:rsid w:val="00470DC6"/>
    <w:rsid w:val="00471FC0"/>
    <w:rsid w:val="00472AED"/>
    <w:rsid w:val="00473D0C"/>
    <w:rsid w:val="004745A5"/>
    <w:rsid w:val="00474F02"/>
    <w:rsid w:val="0047542D"/>
    <w:rsid w:val="00476EEB"/>
    <w:rsid w:val="00477436"/>
    <w:rsid w:val="00480945"/>
    <w:rsid w:val="00482CE4"/>
    <w:rsid w:val="0048500C"/>
    <w:rsid w:val="004866D0"/>
    <w:rsid w:val="00486C29"/>
    <w:rsid w:val="00493F76"/>
    <w:rsid w:val="00494779"/>
    <w:rsid w:val="004959EF"/>
    <w:rsid w:val="00496FC0"/>
    <w:rsid w:val="00497B31"/>
    <w:rsid w:val="00497C05"/>
    <w:rsid w:val="004A0930"/>
    <w:rsid w:val="004A0F6E"/>
    <w:rsid w:val="004A162D"/>
    <w:rsid w:val="004A1AB9"/>
    <w:rsid w:val="004A367F"/>
    <w:rsid w:val="004A4970"/>
    <w:rsid w:val="004A538E"/>
    <w:rsid w:val="004A5454"/>
    <w:rsid w:val="004A60CB"/>
    <w:rsid w:val="004A7D81"/>
    <w:rsid w:val="004B1616"/>
    <w:rsid w:val="004B4B3C"/>
    <w:rsid w:val="004B5B67"/>
    <w:rsid w:val="004B6B41"/>
    <w:rsid w:val="004B7638"/>
    <w:rsid w:val="004B7E23"/>
    <w:rsid w:val="004C03E9"/>
    <w:rsid w:val="004C087E"/>
    <w:rsid w:val="004C1D4E"/>
    <w:rsid w:val="004C36BA"/>
    <w:rsid w:val="004C3C89"/>
    <w:rsid w:val="004C53B9"/>
    <w:rsid w:val="004C552D"/>
    <w:rsid w:val="004C6F20"/>
    <w:rsid w:val="004C7CED"/>
    <w:rsid w:val="004D00E7"/>
    <w:rsid w:val="004D0586"/>
    <w:rsid w:val="004D2A03"/>
    <w:rsid w:val="004D32D6"/>
    <w:rsid w:val="004D38D7"/>
    <w:rsid w:val="004D3DAA"/>
    <w:rsid w:val="004D51A6"/>
    <w:rsid w:val="004D6432"/>
    <w:rsid w:val="004D67FA"/>
    <w:rsid w:val="004D7897"/>
    <w:rsid w:val="004E0BFF"/>
    <w:rsid w:val="004E1798"/>
    <w:rsid w:val="004E2871"/>
    <w:rsid w:val="004E3479"/>
    <w:rsid w:val="004E4174"/>
    <w:rsid w:val="004E417F"/>
    <w:rsid w:val="004E4313"/>
    <w:rsid w:val="004E6700"/>
    <w:rsid w:val="004E68BD"/>
    <w:rsid w:val="004E72CE"/>
    <w:rsid w:val="004E7509"/>
    <w:rsid w:val="004E7DF4"/>
    <w:rsid w:val="004E7EFB"/>
    <w:rsid w:val="004F0892"/>
    <w:rsid w:val="004F11B9"/>
    <w:rsid w:val="004F133C"/>
    <w:rsid w:val="004F192A"/>
    <w:rsid w:val="004F200A"/>
    <w:rsid w:val="004F3038"/>
    <w:rsid w:val="004F53D0"/>
    <w:rsid w:val="004F557C"/>
    <w:rsid w:val="004F56F4"/>
    <w:rsid w:val="004F7357"/>
    <w:rsid w:val="004F7B33"/>
    <w:rsid w:val="005001D9"/>
    <w:rsid w:val="0050034D"/>
    <w:rsid w:val="00502088"/>
    <w:rsid w:val="005026FC"/>
    <w:rsid w:val="0050336C"/>
    <w:rsid w:val="00503406"/>
    <w:rsid w:val="00503B51"/>
    <w:rsid w:val="00503EFD"/>
    <w:rsid w:val="00503F02"/>
    <w:rsid w:val="00504836"/>
    <w:rsid w:val="00504F9E"/>
    <w:rsid w:val="00505718"/>
    <w:rsid w:val="0050645F"/>
    <w:rsid w:val="0050658B"/>
    <w:rsid w:val="0050799B"/>
    <w:rsid w:val="00510894"/>
    <w:rsid w:val="00512367"/>
    <w:rsid w:val="00513C4B"/>
    <w:rsid w:val="00514956"/>
    <w:rsid w:val="00515898"/>
    <w:rsid w:val="0051657D"/>
    <w:rsid w:val="00516CBE"/>
    <w:rsid w:val="00517CF4"/>
    <w:rsid w:val="005212BF"/>
    <w:rsid w:val="00522FC1"/>
    <w:rsid w:val="005237D5"/>
    <w:rsid w:val="00524767"/>
    <w:rsid w:val="00524FD1"/>
    <w:rsid w:val="00525928"/>
    <w:rsid w:val="00525CCB"/>
    <w:rsid w:val="00525F76"/>
    <w:rsid w:val="00526507"/>
    <w:rsid w:val="005268E4"/>
    <w:rsid w:val="005273DE"/>
    <w:rsid w:val="00531F5A"/>
    <w:rsid w:val="005331D9"/>
    <w:rsid w:val="005348B6"/>
    <w:rsid w:val="005360C7"/>
    <w:rsid w:val="0053666C"/>
    <w:rsid w:val="005367FA"/>
    <w:rsid w:val="00536CB5"/>
    <w:rsid w:val="005375E0"/>
    <w:rsid w:val="00537750"/>
    <w:rsid w:val="00540968"/>
    <w:rsid w:val="00540A45"/>
    <w:rsid w:val="005431DC"/>
    <w:rsid w:val="00544FC1"/>
    <w:rsid w:val="00545A80"/>
    <w:rsid w:val="00545B50"/>
    <w:rsid w:val="00546625"/>
    <w:rsid w:val="00546C67"/>
    <w:rsid w:val="00546D72"/>
    <w:rsid w:val="005509CB"/>
    <w:rsid w:val="00550AD6"/>
    <w:rsid w:val="00551807"/>
    <w:rsid w:val="00552AB4"/>
    <w:rsid w:val="00552EE5"/>
    <w:rsid w:val="0055404A"/>
    <w:rsid w:val="00556FEA"/>
    <w:rsid w:val="0055709B"/>
    <w:rsid w:val="005577BC"/>
    <w:rsid w:val="00560940"/>
    <w:rsid w:val="00563D0F"/>
    <w:rsid w:val="005640C6"/>
    <w:rsid w:val="0056431E"/>
    <w:rsid w:val="00565EFC"/>
    <w:rsid w:val="0056746C"/>
    <w:rsid w:val="00567A19"/>
    <w:rsid w:val="005710F2"/>
    <w:rsid w:val="005713D1"/>
    <w:rsid w:val="00571874"/>
    <w:rsid w:val="00572BB3"/>
    <w:rsid w:val="005738F5"/>
    <w:rsid w:val="00573D82"/>
    <w:rsid w:val="0057523E"/>
    <w:rsid w:val="005773A1"/>
    <w:rsid w:val="00577F34"/>
    <w:rsid w:val="005800BD"/>
    <w:rsid w:val="00580822"/>
    <w:rsid w:val="0058218F"/>
    <w:rsid w:val="0058366C"/>
    <w:rsid w:val="00584D5A"/>
    <w:rsid w:val="00586BB6"/>
    <w:rsid w:val="00587212"/>
    <w:rsid w:val="005900CC"/>
    <w:rsid w:val="0059101C"/>
    <w:rsid w:val="005911A7"/>
    <w:rsid w:val="0059391F"/>
    <w:rsid w:val="00594084"/>
    <w:rsid w:val="00594604"/>
    <w:rsid w:val="00594731"/>
    <w:rsid w:val="005A0A6B"/>
    <w:rsid w:val="005A0A6F"/>
    <w:rsid w:val="005A0B0E"/>
    <w:rsid w:val="005A11BA"/>
    <w:rsid w:val="005A17BA"/>
    <w:rsid w:val="005A218D"/>
    <w:rsid w:val="005A330F"/>
    <w:rsid w:val="005A464A"/>
    <w:rsid w:val="005A5031"/>
    <w:rsid w:val="005A6A11"/>
    <w:rsid w:val="005A6AA7"/>
    <w:rsid w:val="005A7EBC"/>
    <w:rsid w:val="005B1346"/>
    <w:rsid w:val="005B1DBF"/>
    <w:rsid w:val="005B485F"/>
    <w:rsid w:val="005B77E3"/>
    <w:rsid w:val="005B78E7"/>
    <w:rsid w:val="005C0615"/>
    <w:rsid w:val="005C156C"/>
    <w:rsid w:val="005C23E6"/>
    <w:rsid w:val="005C480F"/>
    <w:rsid w:val="005C7C9B"/>
    <w:rsid w:val="005C7E1C"/>
    <w:rsid w:val="005D0426"/>
    <w:rsid w:val="005D211D"/>
    <w:rsid w:val="005D3865"/>
    <w:rsid w:val="005D41C7"/>
    <w:rsid w:val="005D5FD2"/>
    <w:rsid w:val="005D6B13"/>
    <w:rsid w:val="005D6E14"/>
    <w:rsid w:val="005D71A9"/>
    <w:rsid w:val="005D7BA2"/>
    <w:rsid w:val="005E2010"/>
    <w:rsid w:val="005E3C79"/>
    <w:rsid w:val="005E5952"/>
    <w:rsid w:val="005E5A02"/>
    <w:rsid w:val="005E5E34"/>
    <w:rsid w:val="005E66C0"/>
    <w:rsid w:val="005E6F8D"/>
    <w:rsid w:val="005E7954"/>
    <w:rsid w:val="005F18E0"/>
    <w:rsid w:val="005F23FC"/>
    <w:rsid w:val="005F4162"/>
    <w:rsid w:val="005F4FEB"/>
    <w:rsid w:val="005F5E52"/>
    <w:rsid w:val="005F618C"/>
    <w:rsid w:val="005F6B4B"/>
    <w:rsid w:val="005F7209"/>
    <w:rsid w:val="00600501"/>
    <w:rsid w:val="006009AD"/>
    <w:rsid w:val="00600B8D"/>
    <w:rsid w:val="006012CE"/>
    <w:rsid w:val="00601411"/>
    <w:rsid w:val="006021B8"/>
    <w:rsid w:val="00602FEB"/>
    <w:rsid w:val="00606B8F"/>
    <w:rsid w:val="006076FD"/>
    <w:rsid w:val="00610BEB"/>
    <w:rsid w:val="00610CAB"/>
    <w:rsid w:val="00611388"/>
    <w:rsid w:val="006119C8"/>
    <w:rsid w:val="00613301"/>
    <w:rsid w:val="006135BA"/>
    <w:rsid w:val="006142F3"/>
    <w:rsid w:val="006151C3"/>
    <w:rsid w:val="00616B58"/>
    <w:rsid w:val="0061781F"/>
    <w:rsid w:val="006179FA"/>
    <w:rsid w:val="00617C3E"/>
    <w:rsid w:val="00620C7D"/>
    <w:rsid w:val="006232A1"/>
    <w:rsid w:val="006242BB"/>
    <w:rsid w:val="00624A5F"/>
    <w:rsid w:val="00625462"/>
    <w:rsid w:val="00626F6A"/>
    <w:rsid w:val="00626FFA"/>
    <w:rsid w:val="006326B4"/>
    <w:rsid w:val="00632A7D"/>
    <w:rsid w:val="0063356A"/>
    <w:rsid w:val="006340F5"/>
    <w:rsid w:val="006362DE"/>
    <w:rsid w:val="006364FF"/>
    <w:rsid w:val="0063660F"/>
    <w:rsid w:val="00636C7D"/>
    <w:rsid w:val="0063743A"/>
    <w:rsid w:val="00637777"/>
    <w:rsid w:val="00640517"/>
    <w:rsid w:val="00640A94"/>
    <w:rsid w:val="00640C44"/>
    <w:rsid w:val="0064213E"/>
    <w:rsid w:val="006424EA"/>
    <w:rsid w:val="00642764"/>
    <w:rsid w:val="00645A90"/>
    <w:rsid w:val="00650926"/>
    <w:rsid w:val="00650976"/>
    <w:rsid w:val="00652156"/>
    <w:rsid w:val="00652882"/>
    <w:rsid w:val="006528F4"/>
    <w:rsid w:val="006533F6"/>
    <w:rsid w:val="00653B4B"/>
    <w:rsid w:val="00654A06"/>
    <w:rsid w:val="00655C4E"/>
    <w:rsid w:val="006570DC"/>
    <w:rsid w:val="00657C46"/>
    <w:rsid w:val="0066190E"/>
    <w:rsid w:val="00661A98"/>
    <w:rsid w:val="006631E4"/>
    <w:rsid w:val="00663554"/>
    <w:rsid w:val="006653E9"/>
    <w:rsid w:val="006659DA"/>
    <w:rsid w:val="00666299"/>
    <w:rsid w:val="0066630E"/>
    <w:rsid w:val="00667C2D"/>
    <w:rsid w:val="00667CC4"/>
    <w:rsid w:val="00670B71"/>
    <w:rsid w:val="00670BC3"/>
    <w:rsid w:val="00670D34"/>
    <w:rsid w:val="0067128A"/>
    <w:rsid w:val="00671BE2"/>
    <w:rsid w:val="006724D6"/>
    <w:rsid w:val="00672807"/>
    <w:rsid w:val="00673DD6"/>
    <w:rsid w:val="00674E17"/>
    <w:rsid w:val="00675723"/>
    <w:rsid w:val="006767F5"/>
    <w:rsid w:val="00676A62"/>
    <w:rsid w:val="006776F0"/>
    <w:rsid w:val="00682DC7"/>
    <w:rsid w:val="006830C4"/>
    <w:rsid w:val="0068460F"/>
    <w:rsid w:val="00686AE3"/>
    <w:rsid w:val="006873CD"/>
    <w:rsid w:val="0068748E"/>
    <w:rsid w:val="0068765E"/>
    <w:rsid w:val="0068787A"/>
    <w:rsid w:val="006905B5"/>
    <w:rsid w:val="00690991"/>
    <w:rsid w:val="00691201"/>
    <w:rsid w:val="006914C0"/>
    <w:rsid w:val="0069160A"/>
    <w:rsid w:val="0069299A"/>
    <w:rsid w:val="00693664"/>
    <w:rsid w:val="006939ED"/>
    <w:rsid w:val="00694BB2"/>
    <w:rsid w:val="00694C2A"/>
    <w:rsid w:val="00694C5F"/>
    <w:rsid w:val="006971BE"/>
    <w:rsid w:val="006972D4"/>
    <w:rsid w:val="00697E89"/>
    <w:rsid w:val="006A2F22"/>
    <w:rsid w:val="006A3884"/>
    <w:rsid w:val="006A480A"/>
    <w:rsid w:val="006A4981"/>
    <w:rsid w:val="006B01F7"/>
    <w:rsid w:val="006B07B6"/>
    <w:rsid w:val="006B1F50"/>
    <w:rsid w:val="006B298A"/>
    <w:rsid w:val="006B2D7B"/>
    <w:rsid w:val="006B349F"/>
    <w:rsid w:val="006B35D6"/>
    <w:rsid w:val="006B3DD6"/>
    <w:rsid w:val="006B457B"/>
    <w:rsid w:val="006B4886"/>
    <w:rsid w:val="006B4DB2"/>
    <w:rsid w:val="006C0762"/>
    <w:rsid w:val="006C2390"/>
    <w:rsid w:val="006C2AEB"/>
    <w:rsid w:val="006C3372"/>
    <w:rsid w:val="006C40D6"/>
    <w:rsid w:val="006C4B5E"/>
    <w:rsid w:val="006C54BD"/>
    <w:rsid w:val="006C5B28"/>
    <w:rsid w:val="006C6687"/>
    <w:rsid w:val="006C6D5B"/>
    <w:rsid w:val="006C75E1"/>
    <w:rsid w:val="006D0371"/>
    <w:rsid w:val="006D0906"/>
    <w:rsid w:val="006D14D6"/>
    <w:rsid w:val="006D3257"/>
    <w:rsid w:val="006D394B"/>
    <w:rsid w:val="006D477C"/>
    <w:rsid w:val="006D5680"/>
    <w:rsid w:val="006D58FC"/>
    <w:rsid w:val="006D5C9C"/>
    <w:rsid w:val="006D62FC"/>
    <w:rsid w:val="006D6B90"/>
    <w:rsid w:val="006D6D6B"/>
    <w:rsid w:val="006D7A4C"/>
    <w:rsid w:val="006E0645"/>
    <w:rsid w:val="006E069D"/>
    <w:rsid w:val="006E0DD0"/>
    <w:rsid w:val="006E132C"/>
    <w:rsid w:val="006E281A"/>
    <w:rsid w:val="006E2EB9"/>
    <w:rsid w:val="006E43BE"/>
    <w:rsid w:val="006F0F2D"/>
    <w:rsid w:val="006F1A75"/>
    <w:rsid w:val="006F2048"/>
    <w:rsid w:val="006F358B"/>
    <w:rsid w:val="00700E8D"/>
    <w:rsid w:val="00700FAF"/>
    <w:rsid w:val="007020BD"/>
    <w:rsid w:val="007033D9"/>
    <w:rsid w:val="00705843"/>
    <w:rsid w:val="0070584F"/>
    <w:rsid w:val="007060AE"/>
    <w:rsid w:val="00706907"/>
    <w:rsid w:val="007101D1"/>
    <w:rsid w:val="007108C4"/>
    <w:rsid w:val="00710B22"/>
    <w:rsid w:val="00711AD1"/>
    <w:rsid w:val="00713CC8"/>
    <w:rsid w:val="00713F10"/>
    <w:rsid w:val="007156AE"/>
    <w:rsid w:val="00715AC9"/>
    <w:rsid w:val="007165E6"/>
    <w:rsid w:val="00721486"/>
    <w:rsid w:val="007216C6"/>
    <w:rsid w:val="00722627"/>
    <w:rsid w:val="00723E11"/>
    <w:rsid w:val="00724063"/>
    <w:rsid w:val="00724161"/>
    <w:rsid w:val="007268AF"/>
    <w:rsid w:val="00727287"/>
    <w:rsid w:val="007273EE"/>
    <w:rsid w:val="00731C7E"/>
    <w:rsid w:val="0073389D"/>
    <w:rsid w:val="00733C3D"/>
    <w:rsid w:val="00734844"/>
    <w:rsid w:val="007375A3"/>
    <w:rsid w:val="007414BE"/>
    <w:rsid w:val="00741843"/>
    <w:rsid w:val="0074293A"/>
    <w:rsid w:val="0074469F"/>
    <w:rsid w:val="0074501F"/>
    <w:rsid w:val="00745B85"/>
    <w:rsid w:val="007469BE"/>
    <w:rsid w:val="007502A8"/>
    <w:rsid w:val="00750854"/>
    <w:rsid w:val="00751869"/>
    <w:rsid w:val="00751F50"/>
    <w:rsid w:val="00752282"/>
    <w:rsid w:val="007526B0"/>
    <w:rsid w:val="00752EE2"/>
    <w:rsid w:val="00753B21"/>
    <w:rsid w:val="00757D6B"/>
    <w:rsid w:val="00760CB3"/>
    <w:rsid w:val="0076197F"/>
    <w:rsid w:val="00761A08"/>
    <w:rsid w:val="00762420"/>
    <w:rsid w:val="00762482"/>
    <w:rsid w:val="00762C3D"/>
    <w:rsid w:val="00762D84"/>
    <w:rsid w:val="007633C7"/>
    <w:rsid w:val="007651D0"/>
    <w:rsid w:val="007657D7"/>
    <w:rsid w:val="00765AEB"/>
    <w:rsid w:val="00766135"/>
    <w:rsid w:val="00766DCE"/>
    <w:rsid w:val="00767B10"/>
    <w:rsid w:val="00767D38"/>
    <w:rsid w:val="00770F15"/>
    <w:rsid w:val="0077225F"/>
    <w:rsid w:val="007758E8"/>
    <w:rsid w:val="00777887"/>
    <w:rsid w:val="007807E5"/>
    <w:rsid w:val="00781FDE"/>
    <w:rsid w:val="007821C7"/>
    <w:rsid w:val="007824FB"/>
    <w:rsid w:val="007840E4"/>
    <w:rsid w:val="007855E7"/>
    <w:rsid w:val="00785EE8"/>
    <w:rsid w:val="00787EC6"/>
    <w:rsid w:val="00792536"/>
    <w:rsid w:val="007934BC"/>
    <w:rsid w:val="007939A3"/>
    <w:rsid w:val="00796316"/>
    <w:rsid w:val="00796552"/>
    <w:rsid w:val="00796710"/>
    <w:rsid w:val="007967DA"/>
    <w:rsid w:val="007A12C9"/>
    <w:rsid w:val="007A25FD"/>
    <w:rsid w:val="007A2CD0"/>
    <w:rsid w:val="007A3911"/>
    <w:rsid w:val="007A4061"/>
    <w:rsid w:val="007A5DBA"/>
    <w:rsid w:val="007A6722"/>
    <w:rsid w:val="007A70CA"/>
    <w:rsid w:val="007A7398"/>
    <w:rsid w:val="007B0526"/>
    <w:rsid w:val="007B0854"/>
    <w:rsid w:val="007B1BF9"/>
    <w:rsid w:val="007B4105"/>
    <w:rsid w:val="007B73B2"/>
    <w:rsid w:val="007C0000"/>
    <w:rsid w:val="007C04BA"/>
    <w:rsid w:val="007C0D87"/>
    <w:rsid w:val="007C0D90"/>
    <w:rsid w:val="007C1CBE"/>
    <w:rsid w:val="007C215A"/>
    <w:rsid w:val="007C3289"/>
    <w:rsid w:val="007C4B08"/>
    <w:rsid w:val="007C4BB7"/>
    <w:rsid w:val="007C5473"/>
    <w:rsid w:val="007C60B0"/>
    <w:rsid w:val="007C6A62"/>
    <w:rsid w:val="007C7B42"/>
    <w:rsid w:val="007D12B4"/>
    <w:rsid w:val="007D1374"/>
    <w:rsid w:val="007D1A08"/>
    <w:rsid w:val="007D2C3A"/>
    <w:rsid w:val="007D423B"/>
    <w:rsid w:val="007D48EF"/>
    <w:rsid w:val="007D4A5D"/>
    <w:rsid w:val="007D70E2"/>
    <w:rsid w:val="007E0472"/>
    <w:rsid w:val="007E0E4C"/>
    <w:rsid w:val="007E1C66"/>
    <w:rsid w:val="007E26BD"/>
    <w:rsid w:val="007E37DA"/>
    <w:rsid w:val="007E4567"/>
    <w:rsid w:val="007E68AE"/>
    <w:rsid w:val="007E76AF"/>
    <w:rsid w:val="007E77F0"/>
    <w:rsid w:val="007E7B4F"/>
    <w:rsid w:val="007F03D1"/>
    <w:rsid w:val="007F1691"/>
    <w:rsid w:val="007F3160"/>
    <w:rsid w:val="007F361E"/>
    <w:rsid w:val="007F36E9"/>
    <w:rsid w:val="007F382F"/>
    <w:rsid w:val="007F4E5F"/>
    <w:rsid w:val="007F6007"/>
    <w:rsid w:val="007F752E"/>
    <w:rsid w:val="008003C5"/>
    <w:rsid w:val="00801516"/>
    <w:rsid w:val="008016D3"/>
    <w:rsid w:val="00801FCE"/>
    <w:rsid w:val="00802C50"/>
    <w:rsid w:val="00803B5F"/>
    <w:rsid w:val="00803DF6"/>
    <w:rsid w:val="008055DC"/>
    <w:rsid w:val="0080621F"/>
    <w:rsid w:val="00806A4A"/>
    <w:rsid w:val="00810323"/>
    <w:rsid w:val="008104F0"/>
    <w:rsid w:val="0081088A"/>
    <w:rsid w:val="0081252D"/>
    <w:rsid w:val="00813FAE"/>
    <w:rsid w:val="00814CD6"/>
    <w:rsid w:val="00815226"/>
    <w:rsid w:val="00815B55"/>
    <w:rsid w:val="00816027"/>
    <w:rsid w:val="00820246"/>
    <w:rsid w:val="008207FB"/>
    <w:rsid w:val="00821186"/>
    <w:rsid w:val="00821239"/>
    <w:rsid w:val="00821813"/>
    <w:rsid w:val="00822AD6"/>
    <w:rsid w:val="00822B18"/>
    <w:rsid w:val="00823FE3"/>
    <w:rsid w:val="008269F6"/>
    <w:rsid w:val="00827F15"/>
    <w:rsid w:val="00830211"/>
    <w:rsid w:val="0083075B"/>
    <w:rsid w:val="008307E5"/>
    <w:rsid w:val="00831388"/>
    <w:rsid w:val="00832620"/>
    <w:rsid w:val="008336A0"/>
    <w:rsid w:val="008337D8"/>
    <w:rsid w:val="00833AF6"/>
    <w:rsid w:val="0083409B"/>
    <w:rsid w:val="008344F6"/>
    <w:rsid w:val="00834794"/>
    <w:rsid w:val="00835269"/>
    <w:rsid w:val="00837821"/>
    <w:rsid w:val="00837AC4"/>
    <w:rsid w:val="00843ADB"/>
    <w:rsid w:val="0084423D"/>
    <w:rsid w:val="008444BD"/>
    <w:rsid w:val="0084466A"/>
    <w:rsid w:val="008460F4"/>
    <w:rsid w:val="0084695D"/>
    <w:rsid w:val="008502A9"/>
    <w:rsid w:val="00850B25"/>
    <w:rsid w:val="00850D30"/>
    <w:rsid w:val="008529D1"/>
    <w:rsid w:val="00853453"/>
    <w:rsid w:val="00854795"/>
    <w:rsid w:val="00855A55"/>
    <w:rsid w:val="00856D6B"/>
    <w:rsid w:val="008575D2"/>
    <w:rsid w:val="00860131"/>
    <w:rsid w:val="00860FDE"/>
    <w:rsid w:val="008617BE"/>
    <w:rsid w:val="008619A1"/>
    <w:rsid w:val="00862266"/>
    <w:rsid w:val="00866CC4"/>
    <w:rsid w:val="00866F23"/>
    <w:rsid w:val="008742EB"/>
    <w:rsid w:val="00875008"/>
    <w:rsid w:val="00875343"/>
    <w:rsid w:val="00875FCD"/>
    <w:rsid w:val="00876A04"/>
    <w:rsid w:val="00877DF1"/>
    <w:rsid w:val="00881FEA"/>
    <w:rsid w:val="00882EDD"/>
    <w:rsid w:val="0088434F"/>
    <w:rsid w:val="008846B0"/>
    <w:rsid w:val="008862E8"/>
    <w:rsid w:val="00886DCD"/>
    <w:rsid w:val="0088745D"/>
    <w:rsid w:val="00887490"/>
    <w:rsid w:val="00890017"/>
    <w:rsid w:val="00890817"/>
    <w:rsid w:val="00890F4E"/>
    <w:rsid w:val="0089133A"/>
    <w:rsid w:val="00891A7C"/>
    <w:rsid w:val="0089282C"/>
    <w:rsid w:val="00892CF6"/>
    <w:rsid w:val="00893298"/>
    <w:rsid w:val="0089400C"/>
    <w:rsid w:val="00894251"/>
    <w:rsid w:val="00895BC0"/>
    <w:rsid w:val="00895C7E"/>
    <w:rsid w:val="00896540"/>
    <w:rsid w:val="0089685C"/>
    <w:rsid w:val="00896DB2"/>
    <w:rsid w:val="00897A5C"/>
    <w:rsid w:val="00897F13"/>
    <w:rsid w:val="008A0796"/>
    <w:rsid w:val="008A07F1"/>
    <w:rsid w:val="008A0ECA"/>
    <w:rsid w:val="008A16A8"/>
    <w:rsid w:val="008A21B0"/>
    <w:rsid w:val="008A2A2D"/>
    <w:rsid w:val="008A35CF"/>
    <w:rsid w:val="008A3B1F"/>
    <w:rsid w:val="008A5E02"/>
    <w:rsid w:val="008A669F"/>
    <w:rsid w:val="008A683F"/>
    <w:rsid w:val="008A6A62"/>
    <w:rsid w:val="008A72AE"/>
    <w:rsid w:val="008A7933"/>
    <w:rsid w:val="008B0472"/>
    <w:rsid w:val="008B0F2E"/>
    <w:rsid w:val="008B5D52"/>
    <w:rsid w:val="008C0570"/>
    <w:rsid w:val="008C0A1A"/>
    <w:rsid w:val="008C2E07"/>
    <w:rsid w:val="008C3521"/>
    <w:rsid w:val="008C53DE"/>
    <w:rsid w:val="008C6276"/>
    <w:rsid w:val="008C6D26"/>
    <w:rsid w:val="008D0DF9"/>
    <w:rsid w:val="008D13FC"/>
    <w:rsid w:val="008D21D5"/>
    <w:rsid w:val="008D2AB2"/>
    <w:rsid w:val="008D313C"/>
    <w:rsid w:val="008D4246"/>
    <w:rsid w:val="008D42BE"/>
    <w:rsid w:val="008D4830"/>
    <w:rsid w:val="008D588B"/>
    <w:rsid w:val="008D5A96"/>
    <w:rsid w:val="008D6101"/>
    <w:rsid w:val="008D64CD"/>
    <w:rsid w:val="008D731A"/>
    <w:rsid w:val="008E4475"/>
    <w:rsid w:val="008E6D46"/>
    <w:rsid w:val="008E7866"/>
    <w:rsid w:val="008F28C1"/>
    <w:rsid w:val="008F4736"/>
    <w:rsid w:val="008F56FD"/>
    <w:rsid w:val="008F6931"/>
    <w:rsid w:val="008F712A"/>
    <w:rsid w:val="00900F39"/>
    <w:rsid w:val="00901641"/>
    <w:rsid w:val="009025CE"/>
    <w:rsid w:val="00902CA6"/>
    <w:rsid w:val="009040DE"/>
    <w:rsid w:val="00910ADA"/>
    <w:rsid w:val="009113B2"/>
    <w:rsid w:val="00912428"/>
    <w:rsid w:val="00912FC1"/>
    <w:rsid w:val="009140E3"/>
    <w:rsid w:val="00914140"/>
    <w:rsid w:val="009169C1"/>
    <w:rsid w:val="00920D4D"/>
    <w:rsid w:val="0092174C"/>
    <w:rsid w:val="00923264"/>
    <w:rsid w:val="00923F55"/>
    <w:rsid w:val="00926C72"/>
    <w:rsid w:val="00927713"/>
    <w:rsid w:val="009279A2"/>
    <w:rsid w:val="00930D71"/>
    <w:rsid w:val="0093189C"/>
    <w:rsid w:val="00931E5A"/>
    <w:rsid w:val="00932536"/>
    <w:rsid w:val="009348DF"/>
    <w:rsid w:val="00934954"/>
    <w:rsid w:val="009352D1"/>
    <w:rsid w:val="00937565"/>
    <w:rsid w:val="00937D1E"/>
    <w:rsid w:val="00937D76"/>
    <w:rsid w:val="009408F6"/>
    <w:rsid w:val="00940D21"/>
    <w:rsid w:val="009413F4"/>
    <w:rsid w:val="00941714"/>
    <w:rsid w:val="00942887"/>
    <w:rsid w:val="00943366"/>
    <w:rsid w:val="0094343D"/>
    <w:rsid w:val="00943685"/>
    <w:rsid w:val="00943C9C"/>
    <w:rsid w:val="0094467B"/>
    <w:rsid w:val="00944B5A"/>
    <w:rsid w:val="0094567B"/>
    <w:rsid w:val="00945F4B"/>
    <w:rsid w:val="00946C56"/>
    <w:rsid w:val="009504E4"/>
    <w:rsid w:val="009550B2"/>
    <w:rsid w:val="0095515F"/>
    <w:rsid w:val="00955BB4"/>
    <w:rsid w:val="00957154"/>
    <w:rsid w:val="009642EA"/>
    <w:rsid w:val="0096613C"/>
    <w:rsid w:val="009663D7"/>
    <w:rsid w:val="00966ABB"/>
    <w:rsid w:val="009677B5"/>
    <w:rsid w:val="00971737"/>
    <w:rsid w:val="00971F7C"/>
    <w:rsid w:val="0097206C"/>
    <w:rsid w:val="0097251E"/>
    <w:rsid w:val="00973344"/>
    <w:rsid w:val="00973C21"/>
    <w:rsid w:val="00975A3C"/>
    <w:rsid w:val="0097659A"/>
    <w:rsid w:val="00976658"/>
    <w:rsid w:val="00977793"/>
    <w:rsid w:val="009777C7"/>
    <w:rsid w:val="00977B46"/>
    <w:rsid w:val="009807CB"/>
    <w:rsid w:val="00981889"/>
    <w:rsid w:val="009826AA"/>
    <w:rsid w:val="0098454B"/>
    <w:rsid w:val="0098692F"/>
    <w:rsid w:val="00990109"/>
    <w:rsid w:val="00990B6D"/>
    <w:rsid w:val="00992A54"/>
    <w:rsid w:val="0099320C"/>
    <w:rsid w:val="00993837"/>
    <w:rsid w:val="00993999"/>
    <w:rsid w:val="00993B71"/>
    <w:rsid w:val="00995163"/>
    <w:rsid w:val="00995227"/>
    <w:rsid w:val="00995859"/>
    <w:rsid w:val="0099612A"/>
    <w:rsid w:val="00997176"/>
    <w:rsid w:val="009973D7"/>
    <w:rsid w:val="009A2531"/>
    <w:rsid w:val="009A30CC"/>
    <w:rsid w:val="009A38A3"/>
    <w:rsid w:val="009A49D9"/>
    <w:rsid w:val="009A5832"/>
    <w:rsid w:val="009A6009"/>
    <w:rsid w:val="009A7EC1"/>
    <w:rsid w:val="009B0264"/>
    <w:rsid w:val="009B0382"/>
    <w:rsid w:val="009B20EF"/>
    <w:rsid w:val="009B5979"/>
    <w:rsid w:val="009B79BC"/>
    <w:rsid w:val="009B7F4A"/>
    <w:rsid w:val="009C01CB"/>
    <w:rsid w:val="009C36DB"/>
    <w:rsid w:val="009C4CB6"/>
    <w:rsid w:val="009D218A"/>
    <w:rsid w:val="009D269E"/>
    <w:rsid w:val="009D298D"/>
    <w:rsid w:val="009D3247"/>
    <w:rsid w:val="009D3449"/>
    <w:rsid w:val="009D5993"/>
    <w:rsid w:val="009D5B94"/>
    <w:rsid w:val="009D5EA0"/>
    <w:rsid w:val="009D73BF"/>
    <w:rsid w:val="009D75DF"/>
    <w:rsid w:val="009D77D7"/>
    <w:rsid w:val="009E022B"/>
    <w:rsid w:val="009E3DCD"/>
    <w:rsid w:val="009E41B2"/>
    <w:rsid w:val="009E686A"/>
    <w:rsid w:val="009E7047"/>
    <w:rsid w:val="009E7143"/>
    <w:rsid w:val="009E7304"/>
    <w:rsid w:val="009E73B7"/>
    <w:rsid w:val="009E7A02"/>
    <w:rsid w:val="009E7DA2"/>
    <w:rsid w:val="009F0482"/>
    <w:rsid w:val="009F1E9C"/>
    <w:rsid w:val="009F2E99"/>
    <w:rsid w:val="009F32B9"/>
    <w:rsid w:val="009F47BB"/>
    <w:rsid w:val="00A015AB"/>
    <w:rsid w:val="00A02742"/>
    <w:rsid w:val="00A063FD"/>
    <w:rsid w:val="00A06636"/>
    <w:rsid w:val="00A06A5F"/>
    <w:rsid w:val="00A0727C"/>
    <w:rsid w:val="00A078C4"/>
    <w:rsid w:val="00A10687"/>
    <w:rsid w:val="00A12267"/>
    <w:rsid w:val="00A12519"/>
    <w:rsid w:val="00A13EF0"/>
    <w:rsid w:val="00A141E9"/>
    <w:rsid w:val="00A143A2"/>
    <w:rsid w:val="00A144F8"/>
    <w:rsid w:val="00A14753"/>
    <w:rsid w:val="00A1663B"/>
    <w:rsid w:val="00A2012A"/>
    <w:rsid w:val="00A2065B"/>
    <w:rsid w:val="00A20E29"/>
    <w:rsid w:val="00A2173D"/>
    <w:rsid w:val="00A229EE"/>
    <w:rsid w:val="00A23CEA"/>
    <w:rsid w:val="00A256D5"/>
    <w:rsid w:val="00A2623A"/>
    <w:rsid w:val="00A26E0B"/>
    <w:rsid w:val="00A276B4"/>
    <w:rsid w:val="00A27AD5"/>
    <w:rsid w:val="00A303A2"/>
    <w:rsid w:val="00A311E8"/>
    <w:rsid w:val="00A32FFB"/>
    <w:rsid w:val="00A34126"/>
    <w:rsid w:val="00A357F1"/>
    <w:rsid w:val="00A36847"/>
    <w:rsid w:val="00A402C8"/>
    <w:rsid w:val="00A40A06"/>
    <w:rsid w:val="00A429EE"/>
    <w:rsid w:val="00A43021"/>
    <w:rsid w:val="00A431C8"/>
    <w:rsid w:val="00A438B2"/>
    <w:rsid w:val="00A44CC9"/>
    <w:rsid w:val="00A454BF"/>
    <w:rsid w:val="00A468C4"/>
    <w:rsid w:val="00A50E87"/>
    <w:rsid w:val="00A5148F"/>
    <w:rsid w:val="00A51CB5"/>
    <w:rsid w:val="00A52AC8"/>
    <w:rsid w:val="00A54823"/>
    <w:rsid w:val="00A549CF"/>
    <w:rsid w:val="00A54FCA"/>
    <w:rsid w:val="00A55361"/>
    <w:rsid w:val="00A560F1"/>
    <w:rsid w:val="00A57646"/>
    <w:rsid w:val="00A604DD"/>
    <w:rsid w:val="00A609F9"/>
    <w:rsid w:val="00A60B98"/>
    <w:rsid w:val="00A61941"/>
    <w:rsid w:val="00A61B90"/>
    <w:rsid w:val="00A61D40"/>
    <w:rsid w:val="00A63A3C"/>
    <w:rsid w:val="00A64406"/>
    <w:rsid w:val="00A6461F"/>
    <w:rsid w:val="00A6467B"/>
    <w:rsid w:val="00A646A3"/>
    <w:rsid w:val="00A648C3"/>
    <w:rsid w:val="00A65E27"/>
    <w:rsid w:val="00A66910"/>
    <w:rsid w:val="00A66E93"/>
    <w:rsid w:val="00A674E4"/>
    <w:rsid w:val="00A6797A"/>
    <w:rsid w:val="00A67ED4"/>
    <w:rsid w:val="00A7195A"/>
    <w:rsid w:val="00A71D4A"/>
    <w:rsid w:val="00A71EDA"/>
    <w:rsid w:val="00A71F17"/>
    <w:rsid w:val="00A734AB"/>
    <w:rsid w:val="00A73AE9"/>
    <w:rsid w:val="00A75B99"/>
    <w:rsid w:val="00A76186"/>
    <w:rsid w:val="00A778E4"/>
    <w:rsid w:val="00A806C7"/>
    <w:rsid w:val="00A82041"/>
    <w:rsid w:val="00A8316C"/>
    <w:rsid w:val="00A83302"/>
    <w:rsid w:val="00A83D97"/>
    <w:rsid w:val="00A856E0"/>
    <w:rsid w:val="00A85F4B"/>
    <w:rsid w:val="00A8731C"/>
    <w:rsid w:val="00A87794"/>
    <w:rsid w:val="00A90281"/>
    <w:rsid w:val="00A92251"/>
    <w:rsid w:val="00AA0BF0"/>
    <w:rsid w:val="00AA12BE"/>
    <w:rsid w:val="00AA13FD"/>
    <w:rsid w:val="00AA1D3D"/>
    <w:rsid w:val="00AA3ABA"/>
    <w:rsid w:val="00AA5429"/>
    <w:rsid w:val="00AA5AFE"/>
    <w:rsid w:val="00AA63EF"/>
    <w:rsid w:val="00AA73AC"/>
    <w:rsid w:val="00AA7778"/>
    <w:rsid w:val="00AA7BCD"/>
    <w:rsid w:val="00AB1661"/>
    <w:rsid w:val="00AB37E6"/>
    <w:rsid w:val="00AB5157"/>
    <w:rsid w:val="00AB5503"/>
    <w:rsid w:val="00AB5AE3"/>
    <w:rsid w:val="00AB62C2"/>
    <w:rsid w:val="00AC1FBE"/>
    <w:rsid w:val="00AC226E"/>
    <w:rsid w:val="00AC238E"/>
    <w:rsid w:val="00AC45AC"/>
    <w:rsid w:val="00AC48BE"/>
    <w:rsid w:val="00AC48E0"/>
    <w:rsid w:val="00AC4C39"/>
    <w:rsid w:val="00AC4E0C"/>
    <w:rsid w:val="00AC69DA"/>
    <w:rsid w:val="00AC70E7"/>
    <w:rsid w:val="00AC7D08"/>
    <w:rsid w:val="00AD0465"/>
    <w:rsid w:val="00AD0680"/>
    <w:rsid w:val="00AD113D"/>
    <w:rsid w:val="00AD1910"/>
    <w:rsid w:val="00AD2AEA"/>
    <w:rsid w:val="00AD2CE1"/>
    <w:rsid w:val="00AD331E"/>
    <w:rsid w:val="00AD341F"/>
    <w:rsid w:val="00AD36FE"/>
    <w:rsid w:val="00AD3800"/>
    <w:rsid w:val="00AD4600"/>
    <w:rsid w:val="00AD4F64"/>
    <w:rsid w:val="00AD5900"/>
    <w:rsid w:val="00AD5B2A"/>
    <w:rsid w:val="00AD625A"/>
    <w:rsid w:val="00AD644D"/>
    <w:rsid w:val="00AD6C30"/>
    <w:rsid w:val="00AD6DCC"/>
    <w:rsid w:val="00AD7899"/>
    <w:rsid w:val="00AE00FA"/>
    <w:rsid w:val="00AE15BF"/>
    <w:rsid w:val="00AE1F46"/>
    <w:rsid w:val="00AE2065"/>
    <w:rsid w:val="00AE3286"/>
    <w:rsid w:val="00AE3433"/>
    <w:rsid w:val="00AE4421"/>
    <w:rsid w:val="00AE6EAB"/>
    <w:rsid w:val="00AE785A"/>
    <w:rsid w:val="00AF0B06"/>
    <w:rsid w:val="00AF0D64"/>
    <w:rsid w:val="00AF187F"/>
    <w:rsid w:val="00AF2BEB"/>
    <w:rsid w:val="00AF3EE1"/>
    <w:rsid w:val="00AF43FE"/>
    <w:rsid w:val="00AF5227"/>
    <w:rsid w:val="00AF5CA4"/>
    <w:rsid w:val="00AF61BA"/>
    <w:rsid w:val="00B038F9"/>
    <w:rsid w:val="00B046C8"/>
    <w:rsid w:val="00B07A5E"/>
    <w:rsid w:val="00B07CBC"/>
    <w:rsid w:val="00B07CFB"/>
    <w:rsid w:val="00B10609"/>
    <w:rsid w:val="00B10CBA"/>
    <w:rsid w:val="00B11656"/>
    <w:rsid w:val="00B13256"/>
    <w:rsid w:val="00B13956"/>
    <w:rsid w:val="00B14202"/>
    <w:rsid w:val="00B16523"/>
    <w:rsid w:val="00B1752A"/>
    <w:rsid w:val="00B208F3"/>
    <w:rsid w:val="00B219AB"/>
    <w:rsid w:val="00B239DB"/>
    <w:rsid w:val="00B24C60"/>
    <w:rsid w:val="00B27E30"/>
    <w:rsid w:val="00B319A4"/>
    <w:rsid w:val="00B31CA3"/>
    <w:rsid w:val="00B322DF"/>
    <w:rsid w:val="00B33616"/>
    <w:rsid w:val="00B34441"/>
    <w:rsid w:val="00B35653"/>
    <w:rsid w:val="00B3798B"/>
    <w:rsid w:val="00B414CB"/>
    <w:rsid w:val="00B4172D"/>
    <w:rsid w:val="00B41FEC"/>
    <w:rsid w:val="00B447FA"/>
    <w:rsid w:val="00B4549E"/>
    <w:rsid w:val="00B45506"/>
    <w:rsid w:val="00B45A31"/>
    <w:rsid w:val="00B47111"/>
    <w:rsid w:val="00B4776B"/>
    <w:rsid w:val="00B50993"/>
    <w:rsid w:val="00B55450"/>
    <w:rsid w:val="00B605C6"/>
    <w:rsid w:val="00B6060F"/>
    <w:rsid w:val="00B60E0F"/>
    <w:rsid w:val="00B62E40"/>
    <w:rsid w:val="00B63AF8"/>
    <w:rsid w:val="00B63C1B"/>
    <w:rsid w:val="00B65DE5"/>
    <w:rsid w:val="00B6621C"/>
    <w:rsid w:val="00B6637E"/>
    <w:rsid w:val="00B66B58"/>
    <w:rsid w:val="00B66F57"/>
    <w:rsid w:val="00B706E7"/>
    <w:rsid w:val="00B7097E"/>
    <w:rsid w:val="00B719B6"/>
    <w:rsid w:val="00B71D1C"/>
    <w:rsid w:val="00B72788"/>
    <w:rsid w:val="00B72F12"/>
    <w:rsid w:val="00B74D24"/>
    <w:rsid w:val="00B7597E"/>
    <w:rsid w:val="00B75EAB"/>
    <w:rsid w:val="00B761DF"/>
    <w:rsid w:val="00B772D0"/>
    <w:rsid w:val="00B80AB2"/>
    <w:rsid w:val="00B80F42"/>
    <w:rsid w:val="00B8251B"/>
    <w:rsid w:val="00B83314"/>
    <w:rsid w:val="00B83328"/>
    <w:rsid w:val="00B83C47"/>
    <w:rsid w:val="00B85A67"/>
    <w:rsid w:val="00B85F02"/>
    <w:rsid w:val="00B91976"/>
    <w:rsid w:val="00B92249"/>
    <w:rsid w:val="00B923F0"/>
    <w:rsid w:val="00B92488"/>
    <w:rsid w:val="00B92FF7"/>
    <w:rsid w:val="00B93C6E"/>
    <w:rsid w:val="00B93D56"/>
    <w:rsid w:val="00B93DD7"/>
    <w:rsid w:val="00B94536"/>
    <w:rsid w:val="00B9470E"/>
    <w:rsid w:val="00B9649D"/>
    <w:rsid w:val="00B9696B"/>
    <w:rsid w:val="00B96B92"/>
    <w:rsid w:val="00BA060E"/>
    <w:rsid w:val="00BA0DBA"/>
    <w:rsid w:val="00BA141C"/>
    <w:rsid w:val="00BA21B1"/>
    <w:rsid w:val="00BA344C"/>
    <w:rsid w:val="00BA65A6"/>
    <w:rsid w:val="00BA683F"/>
    <w:rsid w:val="00BA6DB8"/>
    <w:rsid w:val="00BA74A3"/>
    <w:rsid w:val="00BB17A4"/>
    <w:rsid w:val="00BB2298"/>
    <w:rsid w:val="00BB4370"/>
    <w:rsid w:val="00BB478F"/>
    <w:rsid w:val="00BB5039"/>
    <w:rsid w:val="00BC09BE"/>
    <w:rsid w:val="00BC09E3"/>
    <w:rsid w:val="00BC260A"/>
    <w:rsid w:val="00BC2FE2"/>
    <w:rsid w:val="00BC37C4"/>
    <w:rsid w:val="00BC43FB"/>
    <w:rsid w:val="00BC47F7"/>
    <w:rsid w:val="00BC4ECA"/>
    <w:rsid w:val="00BC5D4D"/>
    <w:rsid w:val="00BC5F1E"/>
    <w:rsid w:val="00BC6DCA"/>
    <w:rsid w:val="00BC7876"/>
    <w:rsid w:val="00BC7917"/>
    <w:rsid w:val="00BC7C30"/>
    <w:rsid w:val="00BC7E05"/>
    <w:rsid w:val="00BD0B2F"/>
    <w:rsid w:val="00BD1A0A"/>
    <w:rsid w:val="00BD24D9"/>
    <w:rsid w:val="00BD4FD7"/>
    <w:rsid w:val="00BD55BA"/>
    <w:rsid w:val="00BE0090"/>
    <w:rsid w:val="00BE01A8"/>
    <w:rsid w:val="00BE1015"/>
    <w:rsid w:val="00BE1066"/>
    <w:rsid w:val="00BE12D8"/>
    <w:rsid w:val="00BE1388"/>
    <w:rsid w:val="00BE24DB"/>
    <w:rsid w:val="00BE4633"/>
    <w:rsid w:val="00BE4702"/>
    <w:rsid w:val="00BE5E9D"/>
    <w:rsid w:val="00BE6BD3"/>
    <w:rsid w:val="00BE6D62"/>
    <w:rsid w:val="00BE7103"/>
    <w:rsid w:val="00BE7128"/>
    <w:rsid w:val="00BE747D"/>
    <w:rsid w:val="00BE7509"/>
    <w:rsid w:val="00BE7AB4"/>
    <w:rsid w:val="00BF02F1"/>
    <w:rsid w:val="00BF077A"/>
    <w:rsid w:val="00BF3088"/>
    <w:rsid w:val="00BF4717"/>
    <w:rsid w:val="00BF517E"/>
    <w:rsid w:val="00BF5BDF"/>
    <w:rsid w:val="00BF602C"/>
    <w:rsid w:val="00BF63C2"/>
    <w:rsid w:val="00BF777C"/>
    <w:rsid w:val="00C01E76"/>
    <w:rsid w:val="00C02C64"/>
    <w:rsid w:val="00C03217"/>
    <w:rsid w:val="00C10261"/>
    <w:rsid w:val="00C10A22"/>
    <w:rsid w:val="00C110D6"/>
    <w:rsid w:val="00C11270"/>
    <w:rsid w:val="00C11D9F"/>
    <w:rsid w:val="00C11E55"/>
    <w:rsid w:val="00C1365F"/>
    <w:rsid w:val="00C13A8D"/>
    <w:rsid w:val="00C14033"/>
    <w:rsid w:val="00C16143"/>
    <w:rsid w:val="00C177A9"/>
    <w:rsid w:val="00C17C6F"/>
    <w:rsid w:val="00C2147F"/>
    <w:rsid w:val="00C22009"/>
    <w:rsid w:val="00C23342"/>
    <w:rsid w:val="00C23D9A"/>
    <w:rsid w:val="00C24CE1"/>
    <w:rsid w:val="00C24EA7"/>
    <w:rsid w:val="00C251AF"/>
    <w:rsid w:val="00C25FB9"/>
    <w:rsid w:val="00C27733"/>
    <w:rsid w:val="00C27E7C"/>
    <w:rsid w:val="00C31FBC"/>
    <w:rsid w:val="00C33849"/>
    <w:rsid w:val="00C34368"/>
    <w:rsid w:val="00C34652"/>
    <w:rsid w:val="00C34EE0"/>
    <w:rsid w:val="00C366F1"/>
    <w:rsid w:val="00C3700A"/>
    <w:rsid w:val="00C374B9"/>
    <w:rsid w:val="00C37C66"/>
    <w:rsid w:val="00C41498"/>
    <w:rsid w:val="00C41A3F"/>
    <w:rsid w:val="00C422F2"/>
    <w:rsid w:val="00C433C6"/>
    <w:rsid w:val="00C46C94"/>
    <w:rsid w:val="00C5030D"/>
    <w:rsid w:val="00C50970"/>
    <w:rsid w:val="00C510C8"/>
    <w:rsid w:val="00C514B3"/>
    <w:rsid w:val="00C5185D"/>
    <w:rsid w:val="00C51876"/>
    <w:rsid w:val="00C52E5F"/>
    <w:rsid w:val="00C52FDB"/>
    <w:rsid w:val="00C6082D"/>
    <w:rsid w:val="00C61291"/>
    <w:rsid w:val="00C61CD0"/>
    <w:rsid w:val="00C621C2"/>
    <w:rsid w:val="00C624DB"/>
    <w:rsid w:val="00C62F05"/>
    <w:rsid w:val="00C637AA"/>
    <w:rsid w:val="00C664EE"/>
    <w:rsid w:val="00C6748C"/>
    <w:rsid w:val="00C7134A"/>
    <w:rsid w:val="00C7291A"/>
    <w:rsid w:val="00C729B8"/>
    <w:rsid w:val="00C75E1F"/>
    <w:rsid w:val="00C765D3"/>
    <w:rsid w:val="00C77A7F"/>
    <w:rsid w:val="00C80839"/>
    <w:rsid w:val="00C83CDC"/>
    <w:rsid w:val="00C84DBB"/>
    <w:rsid w:val="00C865A5"/>
    <w:rsid w:val="00C87154"/>
    <w:rsid w:val="00C90967"/>
    <w:rsid w:val="00C9187B"/>
    <w:rsid w:val="00C92663"/>
    <w:rsid w:val="00C94CC9"/>
    <w:rsid w:val="00C94D1E"/>
    <w:rsid w:val="00C94F96"/>
    <w:rsid w:val="00C974A4"/>
    <w:rsid w:val="00C97A17"/>
    <w:rsid w:val="00C97DA3"/>
    <w:rsid w:val="00CA321F"/>
    <w:rsid w:val="00CA39D9"/>
    <w:rsid w:val="00CA548B"/>
    <w:rsid w:val="00CA6624"/>
    <w:rsid w:val="00CA6875"/>
    <w:rsid w:val="00CA6EDA"/>
    <w:rsid w:val="00CB22F2"/>
    <w:rsid w:val="00CB3D45"/>
    <w:rsid w:val="00CB3E7D"/>
    <w:rsid w:val="00CB4F61"/>
    <w:rsid w:val="00CB5C07"/>
    <w:rsid w:val="00CB5C08"/>
    <w:rsid w:val="00CB7FFB"/>
    <w:rsid w:val="00CC15AB"/>
    <w:rsid w:val="00CC2A01"/>
    <w:rsid w:val="00CC3565"/>
    <w:rsid w:val="00CC7A7C"/>
    <w:rsid w:val="00CD3DAE"/>
    <w:rsid w:val="00CD3FCD"/>
    <w:rsid w:val="00CD43E6"/>
    <w:rsid w:val="00CD4C4F"/>
    <w:rsid w:val="00CD4CD3"/>
    <w:rsid w:val="00CD670E"/>
    <w:rsid w:val="00CD704E"/>
    <w:rsid w:val="00CE1284"/>
    <w:rsid w:val="00CE16ED"/>
    <w:rsid w:val="00CE35BA"/>
    <w:rsid w:val="00CE3DDA"/>
    <w:rsid w:val="00CE4005"/>
    <w:rsid w:val="00CE59FA"/>
    <w:rsid w:val="00CE71CA"/>
    <w:rsid w:val="00CE7B88"/>
    <w:rsid w:val="00CF02BE"/>
    <w:rsid w:val="00CF1536"/>
    <w:rsid w:val="00CF2E09"/>
    <w:rsid w:val="00CF3537"/>
    <w:rsid w:val="00CF3D0F"/>
    <w:rsid w:val="00CF54FF"/>
    <w:rsid w:val="00CF73BC"/>
    <w:rsid w:val="00CF7CB9"/>
    <w:rsid w:val="00D0021B"/>
    <w:rsid w:val="00D00512"/>
    <w:rsid w:val="00D007D3"/>
    <w:rsid w:val="00D00EA1"/>
    <w:rsid w:val="00D014B1"/>
    <w:rsid w:val="00D0381E"/>
    <w:rsid w:val="00D044D1"/>
    <w:rsid w:val="00D04786"/>
    <w:rsid w:val="00D054DD"/>
    <w:rsid w:val="00D05834"/>
    <w:rsid w:val="00D05A74"/>
    <w:rsid w:val="00D07CBB"/>
    <w:rsid w:val="00D10554"/>
    <w:rsid w:val="00D10F7A"/>
    <w:rsid w:val="00D11289"/>
    <w:rsid w:val="00D11FDE"/>
    <w:rsid w:val="00D14CEE"/>
    <w:rsid w:val="00D15CD2"/>
    <w:rsid w:val="00D1693B"/>
    <w:rsid w:val="00D17623"/>
    <w:rsid w:val="00D2116D"/>
    <w:rsid w:val="00D21762"/>
    <w:rsid w:val="00D225CB"/>
    <w:rsid w:val="00D23C7A"/>
    <w:rsid w:val="00D24ADA"/>
    <w:rsid w:val="00D26A43"/>
    <w:rsid w:val="00D26DB1"/>
    <w:rsid w:val="00D273D7"/>
    <w:rsid w:val="00D27923"/>
    <w:rsid w:val="00D303D3"/>
    <w:rsid w:val="00D3083A"/>
    <w:rsid w:val="00D30C44"/>
    <w:rsid w:val="00D30E8C"/>
    <w:rsid w:val="00D31D19"/>
    <w:rsid w:val="00D31D84"/>
    <w:rsid w:val="00D33017"/>
    <w:rsid w:val="00D33276"/>
    <w:rsid w:val="00D33719"/>
    <w:rsid w:val="00D339B0"/>
    <w:rsid w:val="00D34D73"/>
    <w:rsid w:val="00D35072"/>
    <w:rsid w:val="00D35E78"/>
    <w:rsid w:val="00D361E0"/>
    <w:rsid w:val="00D37ECA"/>
    <w:rsid w:val="00D4063D"/>
    <w:rsid w:val="00D40DBF"/>
    <w:rsid w:val="00D41B41"/>
    <w:rsid w:val="00D4247A"/>
    <w:rsid w:val="00D42FBC"/>
    <w:rsid w:val="00D436E0"/>
    <w:rsid w:val="00D4390E"/>
    <w:rsid w:val="00D44D16"/>
    <w:rsid w:val="00D44F26"/>
    <w:rsid w:val="00D44FFD"/>
    <w:rsid w:val="00D46A5E"/>
    <w:rsid w:val="00D47056"/>
    <w:rsid w:val="00D47C1B"/>
    <w:rsid w:val="00D501D9"/>
    <w:rsid w:val="00D50899"/>
    <w:rsid w:val="00D51E51"/>
    <w:rsid w:val="00D523C5"/>
    <w:rsid w:val="00D52B01"/>
    <w:rsid w:val="00D53050"/>
    <w:rsid w:val="00D53204"/>
    <w:rsid w:val="00D53DB5"/>
    <w:rsid w:val="00D54AD5"/>
    <w:rsid w:val="00D55F66"/>
    <w:rsid w:val="00D560C6"/>
    <w:rsid w:val="00D56962"/>
    <w:rsid w:val="00D56D95"/>
    <w:rsid w:val="00D574FD"/>
    <w:rsid w:val="00D609BF"/>
    <w:rsid w:val="00D62CEF"/>
    <w:rsid w:val="00D63657"/>
    <w:rsid w:val="00D63E6D"/>
    <w:rsid w:val="00D63EED"/>
    <w:rsid w:val="00D65985"/>
    <w:rsid w:val="00D70344"/>
    <w:rsid w:val="00D71784"/>
    <w:rsid w:val="00D7206E"/>
    <w:rsid w:val="00D73121"/>
    <w:rsid w:val="00D73733"/>
    <w:rsid w:val="00D73EB3"/>
    <w:rsid w:val="00D74608"/>
    <w:rsid w:val="00D75256"/>
    <w:rsid w:val="00D7541C"/>
    <w:rsid w:val="00D76366"/>
    <w:rsid w:val="00D76761"/>
    <w:rsid w:val="00D76D3E"/>
    <w:rsid w:val="00D77739"/>
    <w:rsid w:val="00D777A5"/>
    <w:rsid w:val="00D77C94"/>
    <w:rsid w:val="00D77D10"/>
    <w:rsid w:val="00D77EA8"/>
    <w:rsid w:val="00D80D00"/>
    <w:rsid w:val="00D813C4"/>
    <w:rsid w:val="00D81894"/>
    <w:rsid w:val="00D82489"/>
    <w:rsid w:val="00D82528"/>
    <w:rsid w:val="00D82919"/>
    <w:rsid w:val="00D82CEA"/>
    <w:rsid w:val="00D840A7"/>
    <w:rsid w:val="00D8441F"/>
    <w:rsid w:val="00D85AD0"/>
    <w:rsid w:val="00D86440"/>
    <w:rsid w:val="00D873C9"/>
    <w:rsid w:val="00D87B63"/>
    <w:rsid w:val="00D916BD"/>
    <w:rsid w:val="00D929B8"/>
    <w:rsid w:val="00D9331B"/>
    <w:rsid w:val="00D93676"/>
    <w:rsid w:val="00D9422F"/>
    <w:rsid w:val="00D9587A"/>
    <w:rsid w:val="00D96AAB"/>
    <w:rsid w:val="00D96F54"/>
    <w:rsid w:val="00D96F5E"/>
    <w:rsid w:val="00D9773F"/>
    <w:rsid w:val="00D97F32"/>
    <w:rsid w:val="00DA28E9"/>
    <w:rsid w:val="00DA385A"/>
    <w:rsid w:val="00DA39A0"/>
    <w:rsid w:val="00DA612F"/>
    <w:rsid w:val="00DA649F"/>
    <w:rsid w:val="00DA6C5C"/>
    <w:rsid w:val="00DA6DF5"/>
    <w:rsid w:val="00DB0986"/>
    <w:rsid w:val="00DB1586"/>
    <w:rsid w:val="00DB1EFF"/>
    <w:rsid w:val="00DB2720"/>
    <w:rsid w:val="00DB27F1"/>
    <w:rsid w:val="00DB3170"/>
    <w:rsid w:val="00DB3DE0"/>
    <w:rsid w:val="00DB5C8F"/>
    <w:rsid w:val="00DC0D60"/>
    <w:rsid w:val="00DC1876"/>
    <w:rsid w:val="00DC45C3"/>
    <w:rsid w:val="00DC5ED0"/>
    <w:rsid w:val="00DC64A1"/>
    <w:rsid w:val="00DC6E7C"/>
    <w:rsid w:val="00DC7E71"/>
    <w:rsid w:val="00DD0420"/>
    <w:rsid w:val="00DD082B"/>
    <w:rsid w:val="00DD260A"/>
    <w:rsid w:val="00DD6FA0"/>
    <w:rsid w:val="00DE09F8"/>
    <w:rsid w:val="00DE110B"/>
    <w:rsid w:val="00DE116B"/>
    <w:rsid w:val="00DE1DCF"/>
    <w:rsid w:val="00DE2C14"/>
    <w:rsid w:val="00DE364D"/>
    <w:rsid w:val="00DE3FE3"/>
    <w:rsid w:val="00DE4B48"/>
    <w:rsid w:val="00DE583F"/>
    <w:rsid w:val="00DF03E5"/>
    <w:rsid w:val="00DF06F2"/>
    <w:rsid w:val="00DF43D9"/>
    <w:rsid w:val="00DF44D0"/>
    <w:rsid w:val="00DF5566"/>
    <w:rsid w:val="00DF70F9"/>
    <w:rsid w:val="00E027AD"/>
    <w:rsid w:val="00E02C58"/>
    <w:rsid w:val="00E04A03"/>
    <w:rsid w:val="00E07CFF"/>
    <w:rsid w:val="00E112E7"/>
    <w:rsid w:val="00E12093"/>
    <w:rsid w:val="00E127AC"/>
    <w:rsid w:val="00E128D6"/>
    <w:rsid w:val="00E1308A"/>
    <w:rsid w:val="00E1362B"/>
    <w:rsid w:val="00E1588F"/>
    <w:rsid w:val="00E1637D"/>
    <w:rsid w:val="00E17A58"/>
    <w:rsid w:val="00E17C76"/>
    <w:rsid w:val="00E200D4"/>
    <w:rsid w:val="00E20857"/>
    <w:rsid w:val="00E21B7F"/>
    <w:rsid w:val="00E23A2B"/>
    <w:rsid w:val="00E23C54"/>
    <w:rsid w:val="00E26285"/>
    <w:rsid w:val="00E26B0F"/>
    <w:rsid w:val="00E26DF5"/>
    <w:rsid w:val="00E2708C"/>
    <w:rsid w:val="00E329E2"/>
    <w:rsid w:val="00E34967"/>
    <w:rsid w:val="00E35DCE"/>
    <w:rsid w:val="00E36371"/>
    <w:rsid w:val="00E3648B"/>
    <w:rsid w:val="00E40D09"/>
    <w:rsid w:val="00E433CE"/>
    <w:rsid w:val="00E4693C"/>
    <w:rsid w:val="00E46E12"/>
    <w:rsid w:val="00E504F2"/>
    <w:rsid w:val="00E50D34"/>
    <w:rsid w:val="00E51317"/>
    <w:rsid w:val="00E5198A"/>
    <w:rsid w:val="00E51F57"/>
    <w:rsid w:val="00E5219F"/>
    <w:rsid w:val="00E52BC6"/>
    <w:rsid w:val="00E52D55"/>
    <w:rsid w:val="00E53326"/>
    <w:rsid w:val="00E53885"/>
    <w:rsid w:val="00E53A28"/>
    <w:rsid w:val="00E554FF"/>
    <w:rsid w:val="00E555F1"/>
    <w:rsid w:val="00E56238"/>
    <w:rsid w:val="00E565F6"/>
    <w:rsid w:val="00E576B0"/>
    <w:rsid w:val="00E57B47"/>
    <w:rsid w:val="00E601E0"/>
    <w:rsid w:val="00E61B43"/>
    <w:rsid w:val="00E61DF0"/>
    <w:rsid w:val="00E63547"/>
    <w:rsid w:val="00E668B8"/>
    <w:rsid w:val="00E675F9"/>
    <w:rsid w:val="00E677CC"/>
    <w:rsid w:val="00E678DC"/>
    <w:rsid w:val="00E704B5"/>
    <w:rsid w:val="00E7097A"/>
    <w:rsid w:val="00E7198F"/>
    <w:rsid w:val="00E72AB5"/>
    <w:rsid w:val="00E72BB3"/>
    <w:rsid w:val="00E738AA"/>
    <w:rsid w:val="00E74246"/>
    <w:rsid w:val="00E74763"/>
    <w:rsid w:val="00E766DD"/>
    <w:rsid w:val="00E77958"/>
    <w:rsid w:val="00E804BD"/>
    <w:rsid w:val="00E810C8"/>
    <w:rsid w:val="00E826ED"/>
    <w:rsid w:val="00E83A3C"/>
    <w:rsid w:val="00E84C90"/>
    <w:rsid w:val="00E85564"/>
    <w:rsid w:val="00E86F75"/>
    <w:rsid w:val="00E87A04"/>
    <w:rsid w:val="00E903E9"/>
    <w:rsid w:val="00E9042E"/>
    <w:rsid w:val="00E90E2E"/>
    <w:rsid w:val="00E912A4"/>
    <w:rsid w:val="00E916AD"/>
    <w:rsid w:val="00E928CA"/>
    <w:rsid w:val="00E9484C"/>
    <w:rsid w:val="00E94BAB"/>
    <w:rsid w:val="00E9607F"/>
    <w:rsid w:val="00EA015C"/>
    <w:rsid w:val="00EA0179"/>
    <w:rsid w:val="00EA03D7"/>
    <w:rsid w:val="00EA24FB"/>
    <w:rsid w:val="00EA2FBA"/>
    <w:rsid w:val="00EA31E4"/>
    <w:rsid w:val="00EA332A"/>
    <w:rsid w:val="00EA37E0"/>
    <w:rsid w:val="00EA41DC"/>
    <w:rsid w:val="00EA4812"/>
    <w:rsid w:val="00EA75A1"/>
    <w:rsid w:val="00EA7887"/>
    <w:rsid w:val="00EB0E22"/>
    <w:rsid w:val="00EB127B"/>
    <w:rsid w:val="00EB1957"/>
    <w:rsid w:val="00EB2A88"/>
    <w:rsid w:val="00EB4C85"/>
    <w:rsid w:val="00EB58B3"/>
    <w:rsid w:val="00EB78AE"/>
    <w:rsid w:val="00EC145E"/>
    <w:rsid w:val="00EC23AE"/>
    <w:rsid w:val="00EC348F"/>
    <w:rsid w:val="00EC376D"/>
    <w:rsid w:val="00EC3968"/>
    <w:rsid w:val="00EC3D01"/>
    <w:rsid w:val="00EC59F3"/>
    <w:rsid w:val="00EC5A70"/>
    <w:rsid w:val="00EC5ECA"/>
    <w:rsid w:val="00EC656B"/>
    <w:rsid w:val="00ED14F5"/>
    <w:rsid w:val="00ED16C8"/>
    <w:rsid w:val="00ED18E4"/>
    <w:rsid w:val="00ED1AE1"/>
    <w:rsid w:val="00ED1BA0"/>
    <w:rsid w:val="00ED200D"/>
    <w:rsid w:val="00ED39E5"/>
    <w:rsid w:val="00ED4C31"/>
    <w:rsid w:val="00ED4CA5"/>
    <w:rsid w:val="00ED53FE"/>
    <w:rsid w:val="00ED6AAB"/>
    <w:rsid w:val="00ED7163"/>
    <w:rsid w:val="00ED7A27"/>
    <w:rsid w:val="00EE0E03"/>
    <w:rsid w:val="00EE5265"/>
    <w:rsid w:val="00EE5969"/>
    <w:rsid w:val="00EE5AA2"/>
    <w:rsid w:val="00EE6345"/>
    <w:rsid w:val="00EE7AA4"/>
    <w:rsid w:val="00EF16CA"/>
    <w:rsid w:val="00EF1C16"/>
    <w:rsid w:val="00EF329C"/>
    <w:rsid w:val="00EF3A68"/>
    <w:rsid w:val="00EF4377"/>
    <w:rsid w:val="00EF4FA1"/>
    <w:rsid w:val="00EF61B3"/>
    <w:rsid w:val="00F000CE"/>
    <w:rsid w:val="00F005F8"/>
    <w:rsid w:val="00F03CBE"/>
    <w:rsid w:val="00F0401F"/>
    <w:rsid w:val="00F04567"/>
    <w:rsid w:val="00F04A5A"/>
    <w:rsid w:val="00F07042"/>
    <w:rsid w:val="00F11F19"/>
    <w:rsid w:val="00F13717"/>
    <w:rsid w:val="00F1425F"/>
    <w:rsid w:val="00F14655"/>
    <w:rsid w:val="00F15947"/>
    <w:rsid w:val="00F20AEE"/>
    <w:rsid w:val="00F20D6F"/>
    <w:rsid w:val="00F21484"/>
    <w:rsid w:val="00F216C3"/>
    <w:rsid w:val="00F2271A"/>
    <w:rsid w:val="00F23A87"/>
    <w:rsid w:val="00F23AA7"/>
    <w:rsid w:val="00F25D85"/>
    <w:rsid w:val="00F26E4C"/>
    <w:rsid w:val="00F344BC"/>
    <w:rsid w:val="00F34998"/>
    <w:rsid w:val="00F4045C"/>
    <w:rsid w:val="00F41793"/>
    <w:rsid w:val="00F430E4"/>
    <w:rsid w:val="00F46073"/>
    <w:rsid w:val="00F504B6"/>
    <w:rsid w:val="00F52F7A"/>
    <w:rsid w:val="00F5539C"/>
    <w:rsid w:val="00F556D5"/>
    <w:rsid w:val="00F55982"/>
    <w:rsid w:val="00F55DEB"/>
    <w:rsid w:val="00F56119"/>
    <w:rsid w:val="00F5770C"/>
    <w:rsid w:val="00F57825"/>
    <w:rsid w:val="00F57E72"/>
    <w:rsid w:val="00F60262"/>
    <w:rsid w:val="00F603EB"/>
    <w:rsid w:val="00F60A5B"/>
    <w:rsid w:val="00F60B85"/>
    <w:rsid w:val="00F62F74"/>
    <w:rsid w:val="00F62FC1"/>
    <w:rsid w:val="00F667B4"/>
    <w:rsid w:val="00F6779D"/>
    <w:rsid w:val="00F70525"/>
    <w:rsid w:val="00F71518"/>
    <w:rsid w:val="00F7271A"/>
    <w:rsid w:val="00F748F1"/>
    <w:rsid w:val="00F75315"/>
    <w:rsid w:val="00F75D2D"/>
    <w:rsid w:val="00F7668A"/>
    <w:rsid w:val="00F77846"/>
    <w:rsid w:val="00F8032C"/>
    <w:rsid w:val="00F832A6"/>
    <w:rsid w:val="00F83336"/>
    <w:rsid w:val="00F83FE4"/>
    <w:rsid w:val="00F84C73"/>
    <w:rsid w:val="00F84FE6"/>
    <w:rsid w:val="00F850EF"/>
    <w:rsid w:val="00F86BBE"/>
    <w:rsid w:val="00F86F43"/>
    <w:rsid w:val="00F870B4"/>
    <w:rsid w:val="00F879AA"/>
    <w:rsid w:val="00F907E6"/>
    <w:rsid w:val="00F91466"/>
    <w:rsid w:val="00F92039"/>
    <w:rsid w:val="00F935C8"/>
    <w:rsid w:val="00F93977"/>
    <w:rsid w:val="00F93B60"/>
    <w:rsid w:val="00F93C20"/>
    <w:rsid w:val="00F941FA"/>
    <w:rsid w:val="00F94FDC"/>
    <w:rsid w:val="00F96246"/>
    <w:rsid w:val="00F97328"/>
    <w:rsid w:val="00F97C7D"/>
    <w:rsid w:val="00FA003B"/>
    <w:rsid w:val="00FA041C"/>
    <w:rsid w:val="00FA0AC0"/>
    <w:rsid w:val="00FA144B"/>
    <w:rsid w:val="00FA1C18"/>
    <w:rsid w:val="00FA233E"/>
    <w:rsid w:val="00FA3AB5"/>
    <w:rsid w:val="00FA4421"/>
    <w:rsid w:val="00FA457D"/>
    <w:rsid w:val="00FA4B15"/>
    <w:rsid w:val="00FA4DB3"/>
    <w:rsid w:val="00FA5AC7"/>
    <w:rsid w:val="00FA68C7"/>
    <w:rsid w:val="00FB1885"/>
    <w:rsid w:val="00FB7319"/>
    <w:rsid w:val="00FC000D"/>
    <w:rsid w:val="00FC0707"/>
    <w:rsid w:val="00FC1267"/>
    <w:rsid w:val="00FC2188"/>
    <w:rsid w:val="00FC2B2C"/>
    <w:rsid w:val="00FC2CC8"/>
    <w:rsid w:val="00FC4876"/>
    <w:rsid w:val="00FC6A57"/>
    <w:rsid w:val="00FD0007"/>
    <w:rsid w:val="00FD1519"/>
    <w:rsid w:val="00FD202A"/>
    <w:rsid w:val="00FD2219"/>
    <w:rsid w:val="00FD325B"/>
    <w:rsid w:val="00FD3492"/>
    <w:rsid w:val="00FD4AF1"/>
    <w:rsid w:val="00FD4C2D"/>
    <w:rsid w:val="00FD6EE4"/>
    <w:rsid w:val="00FD7046"/>
    <w:rsid w:val="00FD7C02"/>
    <w:rsid w:val="00FE1E0D"/>
    <w:rsid w:val="00FE21CB"/>
    <w:rsid w:val="00FE2DA7"/>
    <w:rsid w:val="00FE2FD1"/>
    <w:rsid w:val="00FE3183"/>
    <w:rsid w:val="00FE360C"/>
    <w:rsid w:val="00FE50AB"/>
    <w:rsid w:val="00FE5802"/>
    <w:rsid w:val="00FE5D5D"/>
    <w:rsid w:val="00FE7110"/>
    <w:rsid w:val="00FE7FA0"/>
    <w:rsid w:val="00FF005B"/>
    <w:rsid w:val="00FF0709"/>
    <w:rsid w:val="00FF0D77"/>
    <w:rsid w:val="00FF0FEE"/>
    <w:rsid w:val="00FF2142"/>
    <w:rsid w:val="00FF4C39"/>
    <w:rsid w:val="00FF5709"/>
    <w:rsid w:val="00FF5B24"/>
    <w:rsid w:val="00FF6F67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5FC45"/>
  <w15:docId w15:val="{C08307B8-19C9-4064-8276-73F401FA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DCC"/>
    <w:pPr>
      <w:spacing w:after="160" w:line="260" w:lineRule="exact"/>
      <w:jc w:val="both"/>
    </w:pPr>
    <w:rPr>
      <w:rFonts w:ascii="Calibri" w:hAnsi="Calibri" w:cs="Verdana"/>
      <w:color w:val="334350"/>
      <w:spacing w:val="-6"/>
      <w:lang w:val="es-ES_tradnl" w:eastAsia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3A2"/>
    <w:pPr>
      <w:keepNext/>
      <w:keepLines/>
      <w:spacing w:after="0" w:line="360" w:lineRule="exact"/>
      <w:jc w:val="left"/>
      <w:outlineLvl w:val="0"/>
    </w:pPr>
    <w:rPr>
      <w:rFonts w:ascii="Verdana" w:eastAsia="MS Gothic" w:hAnsi="Verdana" w:cs="Times New Roman"/>
      <w:b/>
      <w:bCs/>
      <w:color w:val="00365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43A2"/>
    <w:pPr>
      <w:keepNext/>
      <w:keepLines/>
      <w:outlineLvl w:val="1"/>
    </w:pPr>
    <w:rPr>
      <w:rFonts w:ascii="Verdana" w:eastAsia="MS Gothic" w:hAnsi="Verdana" w:cs="Times New Roman"/>
      <w:bCs/>
      <w:color w:val="00365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33616"/>
    <w:pPr>
      <w:keepNext/>
      <w:keepLines/>
      <w:spacing w:before="200" w:after="0"/>
      <w:outlineLvl w:val="2"/>
    </w:pPr>
    <w:rPr>
      <w:rFonts w:eastAsia="MS Gothic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084"/>
    <w:pPr>
      <w:keepNext/>
      <w:keepLines/>
      <w:spacing w:before="200" w:after="0"/>
      <w:outlineLvl w:val="3"/>
    </w:pPr>
    <w:rPr>
      <w:rFonts w:eastAsia="MS Gothic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94084"/>
    <w:pPr>
      <w:keepNext/>
      <w:keepLines/>
      <w:spacing w:before="200" w:after="0"/>
      <w:outlineLvl w:val="4"/>
    </w:pPr>
    <w:rPr>
      <w:rFonts w:eastAsia="MS Gothic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6461F"/>
    <w:pPr>
      <w:keepNext/>
      <w:keepLines/>
      <w:spacing w:before="200" w:after="0"/>
      <w:outlineLvl w:val="5"/>
    </w:pPr>
    <w:rPr>
      <w:rFonts w:eastAsia="MS Gothic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6461F"/>
    <w:pPr>
      <w:keepNext/>
      <w:keepLines/>
      <w:spacing w:before="200" w:after="0"/>
      <w:outlineLvl w:val="6"/>
    </w:pPr>
    <w:rPr>
      <w:rFonts w:eastAsia="MS Gothic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75199"/>
    <w:pPr>
      <w:keepNext/>
      <w:keepLines/>
      <w:spacing w:before="200" w:after="0"/>
      <w:outlineLvl w:val="7"/>
    </w:pPr>
    <w:rPr>
      <w:rFonts w:eastAsia="MS Gothic" w:cs="Times New Roman"/>
      <w:color w:val="003652"/>
    </w:rPr>
  </w:style>
  <w:style w:type="paragraph" w:styleId="Nagwek9">
    <w:name w:val="heading 9"/>
    <w:aliases w:val="Comunicacion"/>
    <w:basedOn w:val="Normalny"/>
    <w:next w:val="Normalny"/>
    <w:link w:val="Nagwek9Znak"/>
    <w:uiPriority w:val="9"/>
    <w:qFormat/>
    <w:rsid w:val="007C0000"/>
    <w:pPr>
      <w:keepNext/>
      <w:keepLines/>
      <w:framePr w:hSpace="141" w:wrap="around" w:vAnchor="page" w:hAnchor="text" w:y="8730"/>
      <w:spacing w:after="0" w:line="200" w:lineRule="exact"/>
      <w:jc w:val="left"/>
      <w:outlineLvl w:val="8"/>
    </w:pPr>
    <w:rPr>
      <w:rFonts w:ascii="Verdana" w:eastAsia="MS Gothic" w:hAnsi="Verdana" w:cs="Times New Roman"/>
      <w:color w:val="5A6E74"/>
      <w:spacing w:val="0"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5E6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5E6"/>
  </w:style>
  <w:style w:type="paragraph" w:styleId="Stopka">
    <w:name w:val="footer"/>
    <w:basedOn w:val="Normalny"/>
    <w:link w:val="StopkaZnak"/>
    <w:uiPriority w:val="99"/>
    <w:unhideWhenUsed/>
    <w:rsid w:val="007165E6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5E6"/>
  </w:style>
  <w:style w:type="paragraph" w:styleId="Tekstdymka">
    <w:name w:val="Balloon Text"/>
    <w:basedOn w:val="Normalny"/>
    <w:link w:val="TekstdymkaZnak"/>
    <w:uiPriority w:val="99"/>
    <w:semiHidden/>
    <w:unhideWhenUsed/>
    <w:rsid w:val="007165E6"/>
    <w:rPr>
      <w:rFonts w:ascii="Lucida Grande" w:hAnsi="Lucida Grande" w:cs="Times New Roman"/>
      <w:color w:val="auto"/>
      <w:spacing w:val="0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65E6"/>
    <w:rPr>
      <w:rFonts w:ascii="Lucida Grande" w:hAnsi="Lucida Grande" w:cs="Lucida Grande"/>
      <w:sz w:val="18"/>
      <w:szCs w:val="18"/>
    </w:rPr>
  </w:style>
  <w:style w:type="character" w:styleId="Numerstrony">
    <w:name w:val="page number"/>
    <w:basedOn w:val="Domylnaczcionkaakapitu"/>
    <w:semiHidden/>
    <w:unhideWhenUsed/>
    <w:rsid w:val="00043D5E"/>
  </w:style>
  <w:style w:type="character" w:styleId="Hipercze">
    <w:name w:val="Hyperlink"/>
    <w:uiPriority w:val="99"/>
    <w:unhideWhenUsed/>
    <w:rsid w:val="00043D5E"/>
    <w:rPr>
      <w:color w:val="0000FF"/>
      <w:u w:val="single"/>
    </w:rPr>
  </w:style>
  <w:style w:type="paragraph" w:customStyle="1" w:styleId="TitularsCursiva18pt">
    <w:name w:val="Titulars_Cursiva_18pt"/>
    <w:basedOn w:val="Normalny"/>
    <w:uiPriority w:val="99"/>
    <w:rsid w:val="0030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Bliss-LightItalic" w:eastAsia="Cambria" w:hAnsi="Bliss-LightItalic" w:cs="Bliss-LightItalic"/>
      <w:i/>
      <w:iCs/>
      <w:color w:val="FFFFFF"/>
      <w:sz w:val="36"/>
      <w:szCs w:val="36"/>
      <w:lang w:eastAsia="en-US"/>
    </w:rPr>
  </w:style>
  <w:style w:type="paragraph" w:customStyle="1" w:styleId="Prrafobsico">
    <w:name w:val="[Párrafo básico]"/>
    <w:basedOn w:val="Normalny"/>
    <w:uiPriority w:val="99"/>
    <w:rsid w:val="0030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paragraph" w:customStyle="1" w:styleId="Cuadrculamedia1-nfasis21">
    <w:name w:val="Cuadrícula media 1 - Énfasis 21"/>
    <w:basedOn w:val="Normalny"/>
    <w:qFormat/>
    <w:rsid w:val="007A2CD0"/>
    <w:pPr>
      <w:numPr>
        <w:numId w:val="1"/>
      </w:numPr>
      <w:spacing w:after="40"/>
    </w:pPr>
    <w:rPr>
      <w:spacing w:val="-8"/>
    </w:rPr>
  </w:style>
  <w:style w:type="character" w:customStyle="1" w:styleId="Nagwek2Znak">
    <w:name w:val="Nagłówek 2 Znak"/>
    <w:link w:val="Nagwek2"/>
    <w:uiPriority w:val="9"/>
    <w:rsid w:val="00A143A2"/>
    <w:rPr>
      <w:rFonts w:ascii="Verdana" w:eastAsia="MS Gothic" w:hAnsi="Verdana" w:cs="Times New Roman"/>
      <w:bCs/>
      <w:color w:val="003652"/>
      <w:spacing w:val="-6"/>
    </w:rPr>
  </w:style>
  <w:style w:type="paragraph" w:customStyle="1" w:styleId="webcabecera">
    <w:name w:val="web cabecera"/>
    <w:basedOn w:val="Normalny"/>
    <w:qFormat/>
    <w:rsid w:val="00A143A2"/>
    <w:pPr>
      <w:jc w:val="right"/>
    </w:pPr>
    <w:rPr>
      <w:i/>
      <w:color w:val="003652"/>
      <w:sz w:val="18"/>
      <w:szCs w:val="18"/>
    </w:rPr>
  </w:style>
  <w:style w:type="character" w:customStyle="1" w:styleId="Nagwek1Znak">
    <w:name w:val="Nagłówek 1 Znak"/>
    <w:link w:val="Nagwek1"/>
    <w:uiPriority w:val="9"/>
    <w:rsid w:val="00A143A2"/>
    <w:rPr>
      <w:rFonts w:ascii="Verdana" w:eastAsia="MS Gothic" w:hAnsi="Verdana" w:cs="Times New Roman"/>
      <w:b/>
      <w:bCs/>
      <w:color w:val="003652"/>
      <w:spacing w:val="-6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616"/>
    <w:pPr>
      <w:jc w:val="left"/>
    </w:pPr>
    <w:rPr>
      <w:rFonts w:ascii="Verdana" w:hAnsi="Verdana" w:cs="Times New Roman"/>
      <w:bCs/>
      <w:color w:val="5A6E74"/>
    </w:rPr>
  </w:style>
  <w:style w:type="character" w:customStyle="1" w:styleId="PodtytuZnak">
    <w:name w:val="Podtytuł Znak"/>
    <w:link w:val="Podtytu"/>
    <w:uiPriority w:val="11"/>
    <w:rsid w:val="00B33616"/>
    <w:rPr>
      <w:rFonts w:ascii="Verdana" w:hAnsi="Verdana" w:cs="Verdana-Bold"/>
      <w:bCs/>
      <w:color w:val="5A6E74"/>
      <w:spacing w:val="-6"/>
      <w:sz w:val="20"/>
      <w:szCs w:val="20"/>
    </w:rPr>
  </w:style>
  <w:style w:type="character" w:customStyle="1" w:styleId="Nagwek3Znak">
    <w:name w:val="Nagłówek 3 Znak"/>
    <w:link w:val="Nagwek3"/>
    <w:uiPriority w:val="9"/>
    <w:rsid w:val="00B33616"/>
    <w:rPr>
      <w:rFonts w:ascii="Calibri" w:eastAsia="MS Gothic" w:hAnsi="Calibri" w:cs="Times New Roman"/>
      <w:b/>
      <w:bCs/>
      <w:color w:val="4F81BD"/>
      <w:spacing w:val="-6"/>
      <w:sz w:val="20"/>
      <w:szCs w:val="20"/>
    </w:rPr>
  </w:style>
  <w:style w:type="table" w:styleId="Tabela-Siatka">
    <w:name w:val="Table Grid"/>
    <w:basedOn w:val="Standardowy"/>
    <w:uiPriority w:val="59"/>
    <w:rsid w:val="00B3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94084"/>
    <w:rPr>
      <w:i/>
      <w:iCs/>
    </w:rPr>
  </w:style>
  <w:style w:type="character" w:customStyle="1" w:styleId="Nagwek4Znak">
    <w:name w:val="Nagłówek 4 Znak"/>
    <w:link w:val="Nagwek4"/>
    <w:uiPriority w:val="9"/>
    <w:rsid w:val="00594084"/>
    <w:rPr>
      <w:rFonts w:ascii="Calibri" w:eastAsia="MS Gothic" w:hAnsi="Calibri" w:cs="Times New Roman"/>
      <w:b/>
      <w:bCs/>
      <w:i/>
      <w:iCs/>
      <w:color w:val="4F81BD"/>
      <w:spacing w:val="-6"/>
      <w:sz w:val="20"/>
      <w:szCs w:val="20"/>
    </w:rPr>
  </w:style>
  <w:style w:type="character" w:customStyle="1" w:styleId="Nagwek5Znak">
    <w:name w:val="Nagłówek 5 Znak"/>
    <w:link w:val="Nagwek5"/>
    <w:uiPriority w:val="9"/>
    <w:rsid w:val="00594084"/>
    <w:rPr>
      <w:rFonts w:ascii="Calibri" w:eastAsia="MS Gothic" w:hAnsi="Calibri" w:cs="Times New Roman"/>
      <w:color w:val="243F60"/>
      <w:spacing w:val="-6"/>
      <w:sz w:val="20"/>
      <w:szCs w:val="20"/>
    </w:rPr>
  </w:style>
  <w:style w:type="character" w:customStyle="1" w:styleId="Nagwek6Znak">
    <w:name w:val="Nagłówek 6 Znak"/>
    <w:link w:val="Nagwek6"/>
    <w:uiPriority w:val="9"/>
    <w:rsid w:val="00A6461F"/>
    <w:rPr>
      <w:rFonts w:ascii="Calibri" w:eastAsia="MS Gothic" w:hAnsi="Calibri" w:cs="Times New Roman"/>
      <w:i/>
      <w:iCs/>
      <w:color w:val="243F60"/>
      <w:spacing w:val="-6"/>
      <w:sz w:val="20"/>
      <w:szCs w:val="20"/>
    </w:rPr>
  </w:style>
  <w:style w:type="character" w:customStyle="1" w:styleId="Nagwek7Znak">
    <w:name w:val="Nagłówek 7 Znak"/>
    <w:link w:val="Nagwek7"/>
    <w:uiPriority w:val="9"/>
    <w:rsid w:val="00A6461F"/>
    <w:rPr>
      <w:rFonts w:ascii="Calibri" w:eastAsia="MS Gothic" w:hAnsi="Calibri" w:cs="Times New Roman"/>
      <w:i/>
      <w:iCs/>
      <w:color w:val="404040"/>
      <w:spacing w:val="-6"/>
      <w:sz w:val="20"/>
      <w:szCs w:val="20"/>
    </w:rPr>
  </w:style>
  <w:style w:type="character" w:customStyle="1" w:styleId="Nagwek8Znak">
    <w:name w:val="Nagłówek 8 Znak"/>
    <w:link w:val="Nagwek8"/>
    <w:uiPriority w:val="9"/>
    <w:rsid w:val="00375199"/>
    <w:rPr>
      <w:rFonts w:ascii="Calibri" w:eastAsia="MS Gothic" w:hAnsi="Calibri" w:cs="Times New Roman"/>
      <w:color w:val="003652"/>
      <w:spacing w:val="-6"/>
      <w:sz w:val="20"/>
      <w:szCs w:val="20"/>
    </w:rPr>
  </w:style>
  <w:style w:type="character" w:customStyle="1" w:styleId="Nagwek9Znak">
    <w:name w:val="Nagłówek 9 Znak"/>
    <w:aliases w:val="Comunicacion Znak"/>
    <w:link w:val="Nagwek9"/>
    <w:uiPriority w:val="9"/>
    <w:rsid w:val="007C0000"/>
    <w:rPr>
      <w:rFonts w:ascii="Verdana" w:eastAsia="MS Gothic" w:hAnsi="Verdana" w:cs="Times New Roman"/>
      <w:color w:val="5A6E74"/>
      <w:sz w:val="14"/>
      <w:szCs w:val="14"/>
    </w:rPr>
  </w:style>
  <w:style w:type="character" w:customStyle="1" w:styleId="Tablanormal31">
    <w:name w:val="Tabla normal 31"/>
    <w:uiPriority w:val="19"/>
    <w:qFormat/>
    <w:rsid w:val="00A6461F"/>
    <w:rPr>
      <w:i/>
      <w:iCs/>
      <w:color w:val="808080"/>
    </w:rPr>
  </w:style>
  <w:style w:type="paragraph" w:customStyle="1" w:styleId="Cuadrculamedia2-nfasis21">
    <w:name w:val="Cuadrícula media 2 - Énfasis 21"/>
    <w:basedOn w:val="Normalny"/>
    <w:next w:val="Normalny"/>
    <w:link w:val="Cuadrculamedia2-nfasis2Car"/>
    <w:uiPriority w:val="29"/>
    <w:qFormat/>
    <w:rsid w:val="00A6461F"/>
    <w:rPr>
      <w:rFonts w:ascii="Verdana" w:hAnsi="Verdana" w:cs="Times New Roman"/>
      <w:i/>
      <w:iCs/>
      <w:color w:val="000000"/>
    </w:rPr>
  </w:style>
  <w:style w:type="character" w:customStyle="1" w:styleId="Cuadrculamedia2-nfasis2Car">
    <w:name w:val="Cuadrícula media 2 - Énfasis 2 Car"/>
    <w:link w:val="Cuadrculamedia2-nfasis21"/>
    <w:uiPriority w:val="29"/>
    <w:rsid w:val="00A6461F"/>
    <w:rPr>
      <w:rFonts w:ascii="Verdana" w:hAnsi="Verdana" w:cs="Verdana"/>
      <w:i/>
      <w:iCs/>
      <w:color w:val="000000"/>
      <w:spacing w:val="-6"/>
      <w:sz w:val="20"/>
      <w:szCs w:val="20"/>
    </w:rPr>
  </w:style>
  <w:style w:type="character" w:styleId="Pogrubienie">
    <w:name w:val="Strong"/>
    <w:uiPriority w:val="22"/>
    <w:qFormat/>
    <w:rsid w:val="00A6461F"/>
    <w:rPr>
      <w:b/>
      <w:bCs/>
    </w:rPr>
  </w:style>
  <w:style w:type="character" w:styleId="UyteHipercze">
    <w:name w:val="FollowedHyperlink"/>
    <w:uiPriority w:val="99"/>
    <w:semiHidden/>
    <w:unhideWhenUsed/>
    <w:rsid w:val="00375199"/>
    <w:rPr>
      <w:color w:val="800080"/>
      <w:u w:val="single"/>
    </w:rPr>
  </w:style>
  <w:style w:type="paragraph" w:customStyle="1" w:styleId="webprensa">
    <w:name w:val="web_prensa"/>
    <w:basedOn w:val="Nagwek9"/>
    <w:link w:val="webprensaCar"/>
    <w:qFormat/>
    <w:rsid w:val="00375199"/>
    <w:pPr>
      <w:framePr w:wrap="around"/>
    </w:pPr>
    <w:rPr>
      <w:b/>
      <w:color w:val="003652"/>
      <w:sz w:val="16"/>
      <w:szCs w:val="16"/>
    </w:rPr>
  </w:style>
  <w:style w:type="character" w:customStyle="1" w:styleId="webprensaCar">
    <w:name w:val="web_prensa Car"/>
    <w:link w:val="webprensa"/>
    <w:rsid w:val="00375199"/>
    <w:rPr>
      <w:rFonts w:ascii="Verdana" w:eastAsia="MS Gothic" w:hAnsi="Verdana" w:cs="Times New Roman"/>
      <w:b/>
      <w:color w:val="003652"/>
      <w:sz w:val="16"/>
      <w:szCs w:val="16"/>
    </w:rPr>
  </w:style>
  <w:style w:type="character" w:customStyle="1" w:styleId="hipervincle">
    <w:name w:val="hipervincle"/>
    <w:uiPriority w:val="99"/>
    <w:rsid w:val="007C0000"/>
    <w:rPr>
      <w:color w:val="0000FF"/>
      <w:u w:val="thick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4497"/>
    <w:pPr>
      <w:spacing w:after="0" w:line="240" w:lineRule="auto"/>
      <w:jc w:val="left"/>
    </w:pPr>
    <w:rPr>
      <w:rFonts w:eastAsia="Calibri" w:cs="Times New Roman"/>
      <w:color w:val="auto"/>
      <w:spacing w:val="0"/>
      <w:lang w:val="en-GB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64497"/>
    <w:rPr>
      <w:rFonts w:ascii="Calibri" w:eastAsia="Calibri" w:hAnsi="Calibri" w:cs="Times New Roman"/>
      <w:sz w:val="20"/>
      <w:szCs w:val="20"/>
      <w:lang w:val="en-GB"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464497"/>
    <w:pPr>
      <w:spacing w:after="0" w:line="240" w:lineRule="auto"/>
      <w:jc w:val="left"/>
    </w:pPr>
    <w:rPr>
      <w:rFonts w:eastAsia="Cambria" w:cs="Times New Roman"/>
      <w:color w:val="auto"/>
      <w:spacing w:val="0"/>
      <w:sz w:val="22"/>
      <w:szCs w:val="21"/>
      <w:lang w:val="es-ES" w:eastAsia="en-US"/>
    </w:rPr>
  </w:style>
  <w:style w:type="character" w:customStyle="1" w:styleId="ZwykytekstZnak">
    <w:name w:val="Zwykły tekst Znak"/>
    <w:link w:val="Zwykytekst"/>
    <w:uiPriority w:val="99"/>
    <w:rsid w:val="00464497"/>
    <w:rPr>
      <w:rFonts w:ascii="Calibri" w:eastAsia="Cambria" w:hAnsi="Calibri"/>
      <w:sz w:val="22"/>
      <w:szCs w:val="21"/>
      <w:lang w:val="es-ES" w:eastAsia="en-US"/>
    </w:rPr>
  </w:style>
  <w:style w:type="character" w:styleId="Odwoaniedokomentarza">
    <w:name w:val="annotation reference"/>
    <w:uiPriority w:val="99"/>
    <w:semiHidden/>
    <w:unhideWhenUsed/>
    <w:rsid w:val="00464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497"/>
    <w:pPr>
      <w:spacing w:line="240" w:lineRule="auto"/>
      <w:jc w:val="left"/>
    </w:pPr>
    <w:rPr>
      <w:rFonts w:ascii="Cambria" w:eastAsia="Cambria" w:hAnsi="Cambria" w:cs="Times New Roman"/>
      <w:color w:val="auto"/>
      <w:spacing w:val="0"/>
      <w:lang w:val="es-ES" w:eastAsia="en-US"/>
    </w:rPr>
  </w:style>
  <w:style w:type="character" w:customStyle="1" w:styleId="TekstkomentarzaZnak">
    <w:name w:val="Tekst komentarza Znak"/>
    <w:link w:val="Tekstkomentarza"/>
    <w:uiPriority w:val="99"/>
    <w:rsid w:val="00464497"/>
    <w:rPr>
      <w:rFonts w:eastAsia="Cambria"/>
      <w:sz w:val="20"/>
      <w:szCs w:val="20"/>
      <w:lang w:val="es-E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B74"/>
    <w:pPr>
      <w:spacing w:line="260" w:lineRule="exact"/>
      <w:jc w:val="both"/>
    </w:pPr>
    <w:rPr>
      <w:rFonts w:ascii="Calibri" w:hAnsi="Calibri"/>
      <w:b/>
      <w:bCs/>
      <w:color w:val="334350"/>
      <w:spacing w:val="-6"/>
      <w:lang w:val="es-ES_tradnl"/>
    </w:rPr>
  </w:style>
  <w:style w:type="character" w:customStyle="1" w:styleId="TematkomentarzaZnak">
    <w:name w:val="Temat komentarza Znak"/>
    <w:link w:val="Tematkomentarza"/>
    <w:uiPriority w:val="99"/>
    <w:semiHidden/>
    <w:rsid w:val="00275B74"/>
    <w:rPr>
      <w:rFonts w:ascii="Calibri" w:eastAsia="Cambria" w:hAnsi="Calibri" w:cs="Verdana"/>
      <w:b/>
      <w:bCs/>
      <w:color w:val="334350"/>
      <w:spacing w:val="-6"/>
      <w:sz w:val="20"/>
      <w:szCs w:val="20"/>
      <w:lang w:val="es-ES_tradnl" w:eastAsia="en-US"/>
    </w:rPr>
  </w:style>
  <w:style w:type="paragraph" w:styleId="NormalnyWeb">
    <w:name w:val="Normal (Web)"/>
    <w:basedOn w:val="Normalny"/>
    <w:uiPriority w:val="99"/>
    <w:semiHidden/>
    <w:unhideWhenUsed/>
    <w:rsid w:val="00624A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s-ES"/>
    </w:rPr>
  </w:style>
  <w:style w:type="paragraph" w:customStyle="1" w:styleId="Listavistosa-nfasis11">
    <w:name w:val="Lista vistosa - Énfasis 11"/>
    <w:basedOn w:val="Normalny"/>
    <w:uiPriority w:val="34"/>
    <w:qFormat/>
    <w:rsid w:val="00CE59FA"/>
    <w:pPr>
      <w:ind w:left="708"/>
    </w:pPr>
  </w:style>
  <w:style w:type="paragraph" w:customStyle="1" w:styleId="Default">
    <w:name w:val="Default"/>
    <w:rsid w:val="006D47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s-ES"/>
    </w:rPr>
  </w:style>
  <w:style w:type="paragraph" w:styleId="Akapitzlist">
    <w:name w:val="List Paragraph"/>
    <w:basedOn w:val="Normalny"/>
    <w:uiPriority w:val="34"/>
    <w:qFormat/>
    <w:rsid w:val="009E730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97F13"/>
  </w:style>
  <w:style w:type="paragraph" w:customStyle="1" w:styleId="Cos">
    <w:name w:val="Cos"/>
    <w:rsid w:val="00D3083A"/>
    <w:pPr>
      <w:pBdr>
        <w:top w:val="nil"/>
        <w:left w:val="nil"/>
        <w:bottom w:val="nil"/>
        <w:right w:val="nil"/>
        <w:between w:val="nil"/>
        <w:bar w:val="nil"/>
      </w:pBdr>
      <w:spacing w:after="160" w:line="260" w:lineRule="exact"/>
      <w:jc w:val="both"/>
    </w:pPr>
    <w:rPr>
      <w:rFonts w:ascii="Calibri" w:eastAsia="Calibri" w:hAnsi="Calibri" w:cs="Calibri"/>
      <w:color w:val="334350"/>
      <w:spacing w:val="-5"/>
      <w:u w:color="334350"/>
      <w:bdr w:val="nil"/>
      <w:lang w:eastAsia="es-ES"/>
    </w:rPr>
  </w:style>
  <w:style w:type="table" w:customStyle="1" w:styleId="TableNormal1">
    <w:name w:val="Table Normal1"/>
    <w:rsid w:val="00D3083A"/>
    <w:rPr>
      <w:rFonts w:ascii="Times New Roman" w:eastAsia="Arial Unicode MS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A646A3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A6DE7"/>
    <w:rPr>
      <w:color w:val="605E5C"/>
      <w:shd w:val="clear" w:color="auto" w:fill="E1DFDD"/>
    </w:rPr>
  </w:style>
  <w:style w:type="paragraph" w:customStyle="1" w:styleId="P68B1DB1-Normal1">
    <w:name w:val="P68B1DB1-Normal1"/>
    <w:basedOn w:val="Normalny"/>
    <w:rsid w:val="00464A56"/>
    <w:pPr>
      <w:spacing w:after="0" w:line="276" w:lineRule="auto"/>
      <w:jc w:val="left"/>
    </w:pPr>
    <w:rPr>
      <w:rFonts w:ascii="Verdana" w:eastAsia="Verdana" w:hAnsi="Verdana"/>
      <w:b/>
      <w:color w:val="auto"/>
      <w:spacing w:val="0"/>
      <w:lang w:val="en-GB" w:eastAsia="en-GB"/>
    </w:rPr>
  </w:style>
  <w:style w:type="paragraph" w:customStyle="1" w:styleId="P68B1DB1-Normal3">
    <w:name w:val="P68B1DB1-Normal3"/>
    <w:basedOn w:val="Normalny"/>
    <w:rsid w:val="00464A56"/>
    <w:pPr>
      <w:spacing w:after="0" w:line="276" w:lineRule="auto"/>
      <w:jc w:val="left"/>
    </w:pPr>
    <w:rPr>
      <w:rFonts w:ascii="Verdana" w:eastAsia="Verdana" w:hAnsi="Verdana"/>
      <w:color w:val="auto"/>
      <w:spacing w:val="0"/>
      <w:sz w:val="22"/>
      <w:lang w:val="en-GB" w:eastAsia="en-GB"/>
    </w:rPr>
  </w:style>
  <w:style w:type="paragraph" w:styleId="Poprawka">
    <w:name w:val="Revision"/>
    <w:hidden/>
    <w:uiPriority w:val="99"/>
    <w:semiHidden/>
    <w:rsid w:val="00E576B0"/>
    <w:rPr>
      <w:rFonts w:ascii="Calibri" w:hAnsi="Calibri" w:cs="Verdana"/>
      <w:color w:val="334350"/>
      <w:spacing w:val="-6"/>
      <w:lang w:val="es-ES_tradnl" w:eastAsia="es-ES"/>
    </w:rPr>
  </w:style>
  <w:style w:type="character" w:styleId="Nierozpoznanawzmianka">
    <w:name w:val="Unresolved Mention"/>
    <w:basedOn w:val="Domylnaczcionkaakapitu"/>
    <w:uiPriority w:val="99"/>
    <w:rsid w:val="00ED14F5"/>
    <w:rPr>
      <w:color w:val="605E5C"/>
      <w:shd w:val="clear" w:color="auto" w:fill="E1DFDD"/>
    </w:rPr>
  </w:style>
  <w:style w:type="paragraph" w:customStyle="1" w:styleId="P68B1DB1-Normal14">
    <w:name w:val="P68B1DB1-Normal14"/>
    <w:basedOn w:val="Normalny"/>
    <w:rsid w:val="00777887"/>
    <w:rPr>
      <w:spacing w:val="0"/>
      <w:sz w:val="28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llnex.com/investor-relations/financial-information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llnex.com/investor-relations/financial-informatio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ellnex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cellnex.com/mediacenter/" TargetMode="External"/><Relationship Id="rId1" Type="http://schemas.openxmlformats.org/officeDocument/2006/relationships/hyperlink" Target="https://www.cellnex.com/mediacente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unet\AppData\Local\Microsoft\Windows\Temporary%20Internet%20Files\Content.Outlook\CQSC4CGW\NotaPrensa_cellnex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91188-7FBC-4B61-B9BC-3CA7A2E7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NotaPrensa_cellnex</Template>
  <TotalTime>0</TotalTime>
  <Pages>7</Pages>
  <Words>2394</Words>
  <Characters>14366</Characters>
  <Application>Microsoft Office Word</Application>
  <DocSecurity>0</DocSecurity>
  <Lines>119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Abertis</Company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abrunet</dc:creator>
  <cp:lastModifiedBy>Cyrbus, Katarzyna</cp:lastModifiedBy>
  <cp:revision>2</cp:revision>
  <cp:lastPrinted>2023-04-25T13:13:00Z</cp:lastPrinted>
  <dcterms:created xsi:type="dcterms:W3CDTF">2023-08-01T13:29:00Z</dcterms:created>
  <dcterms:modified xsi:type="dcterms:W3CDTF">2023-08-01T13:29:00Z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WPathText">
    <vt:lpwstr>#21710161v1</vt:lpwstr>
  </property>
  <property fmtid="{D5CDD505-2E9C-101B-9397-08002B2CF9AE}" pid="3" name="MSIP_Label_ab904b49-3f4d-4965-871f-2e2fd7247f94_Application">
    <vt:lpwstr>Microsoft Azure Information Protection</vt:lpwstr>
  </property>
  <property fmtid="{D5CDD505-2E9C-101B-9397-08002B2CF9AE}" pid="4" name="MSIP_Label_ab904b49-3f4d-4965-871f-2e2fd7247f94_Enabled">
    <vt:lpwstr>True</vt:lpwstr>
  </property>
  <property fmtid="{D5CDD505-2E9C-101B-9397-08002B2CF9AE}" pid="5" name="MSIP_Label_ab904b49-3f4d-4965-871f-2e2fd7247f94_Extended_MSFT_Method">
    <vt:lpwstr>Automatic</vt:lpwstr>
  </property>
  <property fmtid="{D5CDD505-2E9C-101B-9397-08002B2CF9AE}" pid="6" name="MSIP_Label_ab904b49-3f4d-4965-871f-2e2fd7247f94_Name">
    <vt:lpwstr>Internal</vt:lpwstr>
  </property>
  <property fmtid="{D5CDD505-2E9C-101B-9397-08002B2CF9AE}" pid="7" name="MSIP_Label_ab904b49-3f4d-4965-871f-2e2fd7247f94_Owner">
    <vt:lpwstr>anna.bargallo@cellnextelecom.com</vt:lpwstr>
  </property>
  <property fmtid="{D5CDD505-2E9C-101B-9397-08002B2CF9AE}" pid="8" name="MSIP_Label_ab904b49-3f4d-4965-871f-2e2fd7247f94_SetDate">
    <vt:lpwstr>2021-02-26T06:26:01.1932991Z</vt:lpwstr>
  </property>
  <property fmtid="{D5CDD505-2E9C-101B-9397-08002B2CF9AE}" pid="9" name="MSIP_Label_ab904b49-3f4d-4965-871f-2e2fd7247f94_SiteId">
    <vt:lpwstr>05088b6e-1d96-4f6b-8918-48957eca4f00</vt:lpwstr>
  </property>
  <property fmtid="{D5CDD505-2E9C-101B-9397-08002B2CF9AE}" pid="10" name="Sensitivity">
    <vt:lpwstr>Internal</vt:lpwstr>
  </property>
</Properties>
</file>