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8A22" w14:textId="77777777" w:rsidR="0092258B" w:rsidRDefault="0092258B" w:rsidP="0092258B">
      <w:pPr>
        <w:pStyle w:val="TreA"/>
        <w:spacing w:line="288" w:lineRule="auto"/>
        <w:jc w:val="center"/>
        <w:rPr>
          <w:rFonts w:asciiTheme="minorHAnsi" w:hAnsiTheme="minorHAnsi" w:cstheme="minorHAnsi"/>
          <w:b/>
          <w:bCs/>
          <w:lang w:val="en-US"/>
        </w:rPr>
      </w:pPr>
    </w:p>
    <w:p w14:paraId="2D6DA688" w14:textId="124E74D3" w:rsidR="0092258B" w:rsidRPr="0092258B" w:rsidRDefault="0092258B" w:rsidP="0092258B">
      <w:pPr>
        <w:pStyle w:val="TreA"/>
        <w:spacing w:line="288" w:lineRule="auto"/>
        <w:jc w:val="center"/>
        <w:rPr>
          <w:rFonts w:asciiTheme="minorHAnsi" w:hAnsiTheme="minorHAnsi" w:cstheme="minorHAnsi"/>
          <w:b/>
          <w:bCs/>
          <w:lang w:val="en-US"/>
        </w:rPr>
      </w:pPr>
      <w:r w:rsidRPr="0092258B">
        <w:rPr>
          <w:rFonts w:asciiTheme="minorHAnsi" w:hAnsiTheme="minorHAnsi" w:cstheme="minorHAnsi"/>
          <w:b/>
          <w:bCs/>
          <w:lang w:val="en-US"/>
        </w:rPr>
        <w:t xml:space="preserve">Cellnex Poland </w:t>
      </w:r>
      <w:r w:rsidRPr="0092258B">
        <w:rPr>
          <w:rFonts w:asciiTheme="minorHAnsi" w:hAnsiTheme="minorHAnsi" w:cstheme="minorHAnsi"/>
          <w:b/>
          <w:bCs/>
          <w:lang w:val="en-US"/>
        </w:rPr>
        <w:t>and</w:t>
      </w:r>
      <w:r w:rsidRPr="0092258B">
        <w:rPr>
          <w:rFonts w:asciiTheme="minorHAnsi" w:hAnsiTheme="minorHAnsi" w:cstheme="minorHAnsi"/>
          <w:b/>
          <w:bCs/>
          <w:lang w:val="en-US"/>
        </w:rPr>
        <w:t xml:space="preserve"> CETIN </w:t>
      </w:r>
      <w:proofErr w:type="spellStart"/>
      <w:r w:rsidRPr="0092258B">
        <w:rPr>
          <w:rFonts w:asciiTheme="minorHAnsi" w:hAnsiTheme="minorHAnsi" w:cstheme="minorHAnsi"/>
          <w:b/>
          <w:bCs/>
          <w:lang w:val="en-US"/>
        </w:rPr>
        <w:t>a.s.</w:t>
      </w:r>
      <w:proofErr w:type="spellEnd"/>
      <w:r w:rsidRPr="0092258B">
        <w:rPr>
          <w:rFonts w:asciiTheme="minorHAnsi" w:hAnsiTheme="minorHAnsi" w:cstheme="minorHAnsi"/>
          <w:b/>
          <w:bCs/>
          <w:lang w:val="en-US"/>
        </w:rPr>
        <w:t xml:space="preserve"> </w:t>
      </w:r>
      <w:r>
        <w:rPr>
          <w:rFonts w:asciiTheme="minorHAnsi" w:hAnsiTheme="minorHAnsi" w:cstheme="minorHAnsi"/>
          <w:b/>
          <w:bCs/>
          <w:lang w:val="en-US"/>
        </w:rPr>
        <w:t>will secure connectivity</w:t>
      </w:r>
      <w:r w:rsidRPr="0092258B">
        <w:rPr>
          <w:rFonts w:asciiTheme="minorHAnsi" w:hAnsiTheme="minorHAnsi" w:cstheme="minorHAnsi"/>
          <w:b/>
          <w:bCs/>
          <w:lang w:val="en-US"/>
        </w:rPr>
        <w:t xml:space="preserve"> </w:t>
      </w:r>
      <w:r>
        <w:rPr>
          <w:rFonts w:asciiTheme="minorHAnsi" w:hAnsiTheme="minorHAnsi" w:cstheme="minorHAnsi"/>
          <w:b/>
          <w:bCs/>
          <w:lang w:val="en-US"/>
        </w:rPr>
        <w:t>for</w:t>
      </w:r>
      <w:r w:rsidRPr="0092258B">
        <w:rPr>
          <w:rFonts w:asciiTheme="minorHAnsi" w:hAnsiTheme="minorHAnsi" w:cstheme="minorHAnsi"/>
          <w:b/>
          <w:bCs/>
          <w:lang w:val="en-US"/>
        </w:rPr>
        <w:t xml:space="preserve"> BALTCOR5G </w:t>
      </w:r>
      <w:r>
        <w:rPr>
          <w:rFonts w:asciiTheme="minorHAnsi" w:hAnsiTheme="minorHAnsi" w:cstheme="minorHAnsi"/>
          <w:b/>
          <w:bCs/>
          <w:lang w:val="en-US"/>
        </w:rPr>
        <w:t xml:space="preserve">under </w:t>
      </w:r>
      <w:r w:rsidRPr="0092258B">
        <w:rPr>
          <w:rFonts w:asciiTheme="minorHAnsi" w:hAnsiTheme="minorHAnsi" w:cstheme="minorHAnsi"/>
          <w:b/>
          <w:bCs/>
          <w:lang w:val="en-US"/>
        </w:rPr>
        <w:t>CEF Digital</w:t>
      </w:r>
      <w:r>
        <w:rPr>
          <w:rFonts w:asciiTheme="minorHAnsi" w:hAnsiTheme="minorHAnsi" w:cstheme="minorHAnsi"/>
          <w:b/>
          <w:bCs/>
          <w:lang w:val="en-US"/>
        </w:rPr>
        <w:t xml:space="preserve"> </w:t>
      </w:r>
      <w:r>
        <w:rPr>
          <w:rFonts w:asciiTheme="minorHAnsi" w:hAnsiTheme="minorHAnsi" w:cstheme="minorHAnsi"/>
          <w:b/>
          <w:bCs/>
          <w:lang w:val="en-US"/>
        </w:rPr>
        <w:t>EU</w:t>
      </w:r>
      <w:r>
        <w:rPr>
          <w:rFonts w:asciiTheme="minorHAnsi" w:hAnsiTheme="minorHAnsi" w:cstheme="minorHAnsi"/>
          <w:b/>
          <w:bCs/>
          <w:lang w:val="en-US"/>
        </w:rPr>
        <w:t xml:space="preserve"> </w:t>
      </w:r>
      <w:proofErr w:type="spellStart"/>
      <w:r>
        <w:rPr>
          <w:rFonts w:asciiTheme="minorHAnsi" w:hAnsiTheme="minorHAnsi" w:cstheme="minorHAnsi"/>
          <w:b/>
          <w:bCs/>
          <w:lang w:val="en-US"/>
        </w:rPr>
        <w:t>Programme</w:t>
      </w:r>
      <w:proofErr w:type="spellEnd"/>
    </w:p>
    <w:p w14:paraId="0F1BDCA7" w14:textId="77777777" w:rsidR="00533FDC" w:rsidRPr="0092258B" w:rsidRDefault="00533FDC" w:rsidP="00533FDC">
      <w:pPr>
        <w:pStyle w:val="TreA"/>
        <w:spacing w:line="288" w:lineRule="auto"/>
        <w:jc w:val="both"/>
        <w:rPr>
          <w:rFonts w:asciiTheme="minorHAnsi" w:hAnsiTheme="minorHAnsi" w:cstheme="minorHAnsi"/>
          <w:lang w:val="en-US"/>
        </w:rPr>
      </w:pPr>
    </w:p>
    <w:p w14:paraId="23451CC6" w14:textId="77777777" w:rsidR="0092258B" w:rsidRPr="0092258B" w:rsidRDefault="0092258B" w:rsidP="0092258B">
      <w:pPr>
        <w:pStyle w:val="TreA"/>
        <w:spacing w:line="276" w:lineRule="auto"/>
        <w:jc w:val="both"/>
        <w:rPr>
          <w:rFonts w:asciiTheme="minorHAnsi" w:hAnsiTheme="minorHAnsi" w:cstheme="minorHAnsi"/>
          <w:b/>
          <w:bCs/>
          <w:lang w:val="en-US"/>
        </w:rPr>
      </w:pPr>
    </w:p>
    <w:p w14:paraId="3AEC9D87" w14:textId="1EF7CB75" w:rsidR="00533FDC" w:rsidRPr="0092258B" w:rsidRDefault="00533FDC" w:rsidP="0092258B">
      <w:pPr>
        <w:pStyle w:val="TreA"/>
        <w:spacing w:line="276" w:lineRule="auto"/>
        <w:jc w:val="both"/>
        <w:rPr>
          <w:rFonts w:asciiTheme="minorHAnsi" w:hAnsiTheme="minorHAnsi" w:cstheme="minorHAnsi"/>
          <w:b/>
          <w:bCs/>
          <w:lang w:val="en-US"/>
        </w:rPr>
      </w:pPr>
      <w:r w:rsidRPr="0092258B">
        <w:rPr>
          <w:rFonts w:asciiTheme="minorHAnsi" w:hAnsiTheme="minorHAnsi" w:cstheme="minorHAnsi"/>
          <w:b/>
          <w:bCs/>
          <w:lang w:val="en-US"/>
        </w:rPr>
        <w:t xml:space="preserve">Shared 5G infrastructure to be deployed in cross-border areas between Czech Republic and Poland as a part of the BALTCOR5G initiative supported by Connecting Europe </w:t>
      </w:r>
      <w:r w:rsidR="00DE2704" w:rsidRPr="0092258B">
        <w:rPr>
          <w:rFonts w:asciiTheme="minorHAnsi" w:hAnsiTheme="minorHAnsi" w:cstheme="minorHAnsi"/>
          <w:b/>
          <w:bCs/>
          <w:lang w:val="en-US"/>
        </w:rPr>
        <w:t>F</w:t>
      </w:r>
      <w:r w:rsidRPr="0092258B">
        <w:rPr>
          <w:rFonts w:asciiTheme="minorHAnsi" w:hAnsiTheme="minorHAnsi" w:cstheme="minorHAnsi"/>
          <w:b/>
          <w:bCs/>
          <w:lang w:val="en-US"/>
        </w:rPr>
        <w:t>acility</w:t>
      </w:r>
      <w:r w:rsidR="00DE2704" w:rsidRPr="0092258B">
        <w:rPr>
          <w:rFonts w:asciiTheme="minorHAnsi" w:hAnsiTheme="minorHAnsi" w:cstheme="minorHAnsi"/>
          <w:b/>
          <w:bCs/>
          <w:lang w:val="en-US"/>
        </w:rPr>
        <w:t xml:space="preserve"> Digital EU  </w:t>
      </w:r>
      <w:r w:rsidR="00DE2704" w:rsidRPr="0092258B">
        <w:rPr>
          <w:rFonts w:asciiTheme="minorHAnsi" w:hAnsiTheme="minorHAnsi" w:cstheme="minorHAnsi"/>
          <w:b/>
          <w:bCs/>
          <w:lang w:val="en-GB"/>
        </w:rPr>
        <w:t>Program</w:t>
      </w:r>
      <w:r w:rsidR="00D0524D" w:rsidRPr="0092258B">
        <w:rPr>
          <w:rFonts w:asciiTheme="minorHAnsi" w:hAnsiTheme="minorHAnsi" w:cstheme="minorHAnsi"/>
          <w:b/>
          <w:bCs/>
          <w:lang w:val="en-GB"/>
        </w:rPr>
        <w:t>me</w:t>
      </w:r>
      <w:r w:rsidR="00DE2704" w:rsidRPr="0092258B">
        <w:rPr>
          <w:rFonts w:asciiTheme="minorHAnsi" w:hAnsiTheme="minorHAnsi" w:cstheme="minorHAnsi"/>
          <w:b/>
          <w:bCs/>
          <w:lang w:val="en-US"/>
        </w:rPr>
        <w:t xml:space="preserve"> (CEF Digital).</w:t>
      </w:r>
    </w:p>
    <w:p w14:paraId="226419FD" w14:textId="77777777" w:rsidR="00533FDC" w:rsidRPr="0092258B" w:rsidRDefault="00533FDC" w:rsidP="0092258B">
      <w:pPr>
        <w:pStyle w:val="TreA"/>
        <w:spacing w:line="276" w:lineRule="auto"/>
        <w:jc w:val="both"/>
        <w:rPr>
          <w:rFonts w:asciiTheme="minorHAnsi" w:hAnsiTheme="minorHAnsi" w:cstheme="minorHAnsi"/>
          <w:lang w:val="en-US"/>
        </w:rPr>
      </w:pPr>
    </w:p>
    <w:p w14:paraId="7545BF7F" w14:textId="705EF41C" w:rsidR="00533FDC"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The project is carried out by Towerlink Poland (part of Cellnex Poland group) and </w:t>
      </w:r>
      <w:r w:rsidRPr="0092258B">
        <w:rPr>
          <w:rFonts w:asciiTheme="minorHAnsi" w:hAnsiTheme="minorHAnsi" w:cstheme="minorHAnsi"/>
          <w:color w:val="auto"/>
          <w:lang w:val="en-US"/>
        </w:rPr>
        <w:t xml:space="preserve">the </w:t>
      </w:r>
      <w:r w:rsidR="00EF1548" w:rsidRPr="0092258B" w:rsidDel="006915B9">
        <w:rPr>
          <w:rFonts w:asciiTheme="minorHAnsi" w:hAnsiTheme="minorHAnsi" w:cstheme="minorHAnsi"/>
          <w:color w:val="auto"/>
          <w:lang w:val="en-US"/>
        </w:rPr>
        <w:t xml:space="preserve">Czech </w:t>
      </w:r>
      <w:r w:rsidR="00EF1548" w:rsidRPr="0092258B">
        <w:rPr>
          <w:rFonts w:asciiTheme="minorHAnsi" w:hAnsiTheme="minorHAnsi" w:cstheme="minorHAnsi"/>
          <w:color w:val="auto"/>
          <w:lang w:val="en-US"/>
        </w:rPr>
        <w:t xml:space="preserve">CETIN </w:t>
      </w:r>
      <w:proofErr w:type="spellStart"/>
      <w:r w:rsidR="00EF1548" w:rsidRPr="0092258B">
        <w:rPr>
          <w:rFonts w:asciiTheme="minorHAnsi" w:hAnsiTheme="minorHAnsi" w:cstheme="minorHAnsi"/>
          <w:color w:val="auto"/>
          <w:lang w:val="en-US"/>
        </w:rPr>
        <w:t>a.s.</w:t>
      </w:r>
      <w:proofErr w:type="spellEnd"/>
      <w:r w:rsidR="00EF1548" w:rsidRPr="0092258B">
        <w:rPr>
          <w:rFonts w:asciiTheme="minorHAnsi" w:hAnsiTheme="minorHAnsi" w:cstheme="minorHAnsi"/>
          <w:color w:val="auto"/>
          <w:lang w:val="en-US"/>
        </w:rPr>
        <w:t xml:space="preserve"> (part of CETIN Group).</w:t>
      </w:r>
      <w:r w:rsidRPr="0092258B">
        <w:rPr>
          <w:rFonts w:asciiTheme="minorHAnsi" w:hAnsiTheme="minorHAnsi" w:cstheme="minorHAnsi"/>
          <w:color w:val="auto"/>
          <w:lang w:val="en-US"/>
        </w:rPr>
        <w:t xml:space="preserve"> </w:t>
      </w:r>
      <w:r w:rsidRPr="0092258B">
        <w:rPr>
          <w:rFonts w:asciiTheme="minorHAnsi" w:hAnsiTheme="minorHAnsi" w:cstheme="minorHAnsi"/>
          <w:lang w:val="en-US"/>
        </w:rPr>
        <w:t xml:space="preserve">It is implemented with the support of the </w:t>
      </w:r>
      <w:r w:rsidR="00D0524D" w:rsidRPr="0092258B">
        <w:rPr>
          <w:rFonts w:asciiTheme="minorHAnsi" w:hAnsiTheme="minorHAnsi" w:cstheme="minorHAnsi"/>
          <w:b/>
          <w:bCs/>
          <w:lang w:val="en-US"/>
        </w:rPr>
        <w:t>CEF Digital</w:t>
      </w:r>
      <w:r w:rsidR="00DE2704" w:rsidRPr="0092258B">
        <w:rPr>
          <w:rFonts w:asciiTheme="minorHAnsi" w:hAnsiTheme="minorHAnsi" w:cstheme="minorHAnsi"/>
          <w:b/>
          <w:bCs/>
          <w:lang w:val="en-US"/>
        </w:rPr>
        <w:t xml:space="preserve"> </w:t>
      </w:r>
      <w:r w:rsidR="00DE2704" w:rsidRPr="0092258B">
        <w:rPr>
          <w:rFonts w:asciiTheme="minorHAnsi" w:hAnsiTheme="minorHAnsi" w:cstheme="minorHAnsi"/>
          <w:b/>
          <w:bCs/>
          <w:lang w:val="en-GB"/>
        </w:rPr>
        <w:t>Program</w:t>
      </w:r>
      <w:r w:rsidR="00AA52F1" w:rsidRPr="0092258B">
        <w:rPr>
          <w:rFonts w:asciiTheme="minorHAnsi" w:hAnsiTheme="minorHAnsi" w:cstheme="minorHAnsi"/>
          <w:b/>
          <w:bCs/>
          <w:lang w:val="en-GB"/>
        </w:rPr>
        <w:t>me</w:t>
      </w:r>
      <w:r w:rsidR="00DE2704" w:rsidRPr="0092258B" w:rsidDel="00DE2704">
        <w:rPr>
          <w:rFonts w:asciiTheme="minorHAnsi" w:hAnsiTheme="minorHAnsi" w:cstheme="minorHAnsi"/>
          <w:lang w:val="en-US"/>
        </w:rPr>
        <w:t xml:space="preserve"> </w:t>
      </w:r>
      <w:r w:rsidRPr="0092258B">
        <w:rPr>
          <w:rFonts w:asciiTheme="minorHAnsi" w:hAnsiTheme="minorHAnsi" w:cstheme="minorHAnsi"/>
          <w:lang w:val="en-US"/>
        </w:rPr>
        <w:t>2021-27. The deployment of 5G technology in cross-border market-failure areas has the potential to revolutionize the way people in these regions access and use telecommunications services. It shall be deployed within the next 3 years (2024-2026).</w:t>
      </w:r>
    </w:p>
    <w:p w14:paraId="0FD05B02" w14:textId="77777777" w:rsidR="00533FDC" w:rsidRPr="0092258B" w:rsidRDefault="00533FDC" w:rsidP="0092258B">
      <w:pPr>
        <w:pStyle w:val="TreA"/>
        <w:spacing w:line="276" w:lineRule="auto"/>
        <w:jc w:val="both"/>
        <w:rPr>
          <w:rFonts w:asciiTheme="minorHAnsi" w:hAnsiTheme="minorHAnsi" w:cstheme="minorHAnsi"/>
          <w:lang w:val="en-US"/>
        </w:rPr>
      </w:pPr>
    </w:p>
    <w:p w14:paraId="4740168C" w14:textId="683DE9AE" w:rsidR="00533FDC"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As part of the ongoing </w:t>
      </w:r>
      <w:r w:rsidR="00D0524D" w:rsidRPr="0092258B">
        <w:rPr>
          <w:rFonts w:asciiTheme="minorHAnsi" w:hAnsiTheme="minorHAnsi" w:cstheme="minorHAnsi"/>
          <w:lang w:val="en-US"/>
        </w:rPr>
        <w:t xml:space="preserve">BALTCOR5G </w:t>
      </w:r>
      <w:r w:rsidRPr="0092258B">
        <w:rPr>
          <w:rFonts w:asciiTheme="minorHAnsi" w:hAnsiTheme="minorHAnsi" w:cstheme="minorHAnsi"/>
          <w:lang w:val="en-US"/>
        </w:rPr>
        <w:t xml:space="preserve">activities </w:t>
      </w:r>
      <w:r w:rsidR="004170D2" w:rsidRPr="0092258B">
        <w:rPr>
          <w:rFonts w:asciiTheme="minorHAnsi" w:hAnsiTheme="minorHAnsi" w:cstheme="minorHAnsi"/>
          <w:lang w:val="en-US"/>
        </w:rPr>
        <w:t xml:space="preserve">Cellnex </w:t>
      </w:r>
      <w:r w:rsidR="004922AA" w:rsidRPr="0092258B">
        <w:rPr>
          <w:rFonts w:asciiTheme="minorHAnsi" w:hAnsiTheme="minorHAnsi" w:cstheme="minorHAnsi"/>
          <w:lang w:val="en-US"/>
        </w:rPr>
        <w:t xml:space="preserve">(through Towerlink Poland) </w:t>
      </w:r>
      <w:r w:rsidRPr="0092258B">
        <w:rPr>
          <w:rFonts w:asciiTheme="minorHAnsi" w:hAnsiTheme="minorHAnsi" w:cstheme="minorHAnsi"/>
          <w:lang w:val="en-US"/>
        </w:rPr>
        <w:t xml:space="preserve">and CETIN will be deploying a dedicated telecommunication infrastructure - both passive and active - for areas with no or very limited </w:t>
      </w:r>
      <w:r w:rsidR="003A0E7D" w:rsidRPr="0092258B">
        <w:rPr>
          <w:rFonts w:asciiTheme="minorHAnsi" w:hAnsiTheme="minorHAnsi" w:cstheme="minorHAnsi"/>
          <w:lang w:val="en-US"/>
        </w:rPr>
        <w:t xml:space="preserve">5G </w:t>
      </w:r>
      <w:r w:rsidRPr="0092258B">
        <w:rPr>
          <w:rFonts w:asciiTheme="minorHAnsi" w:hAnsiTheme="minorHAnsi" w:cstheme="minorHAnsi"/>
          <w:lang w:val="en-US"/>
        </w:rPr>
        <w:t xml:space="preserve">coverage. </w:t>
      </w:r>
      <w:r w:rsidR="00040FBF" w:rsidRPr="0092258B">
        <w:rPr>
          <w:rFonts w:asciiTheme="minorHAnsi" w:hAnsiTheme="minorHAnsi" w:cstheme="minorHAnsi"/>
          <w:lang w:val="en-US"/>
        </w:rPr>
        <w:t>The p</w:t>
      </w:r>
      <w:r w:rsidRPr="0092258B">
        <w:rPr>
          <w:rFonts w:asciiTheme="minorHAnsi" w:hAnsiTheme="minorHAnsi" w:cstheme="minorHAnsi"/>
          <w:lang w:val="en-US"/>
        </w:rPr>
        <w:t xml:space="preserve">lan assumes the deployment of several sites both in Poland and </w:t>
      </w:r>
      <w:r w:rsidR="006D501B" w:rsidRPr="0092258B">
        <w:rPr>
          <w:rFonts w:asciiTheme="minorHAnsi" w:hAnsiTheme="minorHAnsi" w:cstheme="minorHAnsi"/>
          <w:lang w:val="en-US"/>
        </w:rPr>
        <w:t xml:space="preserve">the </w:t>
      </w:r>
      <w:r w:rsidRPr="0092258B">
        <w:rPr>
          <w:rFonts w:asciiTheme="minorHAnsi" w:hAnsiTheme="minorHAnsi" w:cstheme="minorHAnsi"/>
          <w:lang w:val="en-US"/>
        </w:rPr>
        <w:t>Czech Republic</w:t>
      </w:r>
      <w:r w:rsidRPr="0092258B" w:rsidDel="00F24B43">
        <w:rPr>
          <w:rFonts w:asciiTheme="minorHAnsi" w:hAnsiTheme="minorHAnsi" w:cstheme="minorHAnsi"/>
          <w:lang w:val="en-US"/>
        </w:rPr>
        <w:t xml:space="preserve"> </w:t>
      </w:r>
      <w:r w:rsidRPr="0092258B">
        <w:rPr>
          <w:rFonts w:asciiTheme="minorHAnsi" w:hAnsiTheme="minorHAnsi" w:cstheme="minorHAnsi"/>
          <w:lang w:val="en-US"/>
        </w:rPr>
        <w:t xml:space="preserve">along 125 km A1 Road corridor in the cross-border regions between </w:t>
      </w:r>
      <w:r w:rsidR="006D501B" w:rsidRPr="0092258B">
        <w:rPr>
          <w:rFonts w:asciiTheme="minorHAnsi" w:hAnsiTheme="minorHAnsi" w:cstheme="minorHAnsi"/>
          <w:lang w:val="en-US"/>
        </w:rPr>
        <w:t xml:space="preserve">the </w:t>
      </w:r>
      <w:r w:rsidRPr="0092258B">
        <w:rPr>
          <w:rFonts w:asciiTheme="minorHAnsi" w:hAnsiTheme="minorHAnsi" w:cstheme="minorHAnsi"/>
          <w:lang w:val="en-US"/>
        </w:rPr>
        <w:t xml:space="preserve">cities of </w:t>
      </w:r>
      <w:proofErr w:type="spellStart"/>
      <w:r w:rsidRPr="0092258B">
        <w:rPr>
          <w:rFonts w:asciiTheme="minorHAnsi" w:hAnsiTheme="minorHAnsi" w:cstheme="minorHAnsi"/>
          <w:lang w:val="en-US"/>
        </w:rPr>
        <w:t>Częstochowa</w:t>
      </w:r>
      <w:proofErr w:type="spellEnd"/>
      <w:r w:rsidRPr="0092258B">
        <w:rPr>
          <w:rFonts w:asciiTheme="minorHAnsi" w:hAnsiTheme="minorHAnsi" w:cstheme="minorHAnsi"/>
          <w:lang w:val="en-US"/>
        </w:rPr>
        <w:t xml:space="preserve"> and Ostrava. </w:t>
      </w:r>
      <w:r w:rsidR="003A1757" w:rsidRPr="0092258B">
        <w:rPr>
          <w:rFonts w:asciiTheme="minorHAnsi" w:hAnsiTheme="minorHAnsi" w:cstheme="minorHAnsi"/>
          <w:lang w:val="en-US"/>
        </w:rPr>
        <w:t>The project will enable testing</w:t>
      </w:r>
      <w:r w:rsidR="00DE2704" w:rsidRPr="0092258B">
        <w:rPr>
          <w:rFonts w:asciiTheme="minorHAnsi" w:hAnsiTheme="minorHAnsi" w:cstheme="minorHAnsi"/>
          <w:lang w:val="en-US"/>
        </w:rPr>
        <w:t xml:space="preserve"> 5G for mobility, including</w:t>
      </w:r>
      <w:r w:rsidR="003A1757" w:rsidRPr="0092258B">
        <w:rPr>
          <w:rFonts w:asciiTheme="minorHAnsi" w:hAnsiTheme="minorHAnsi" w:cstheme="minorHAnsi"/>
          <w:lang w:val="en-US"/>
        </w:rPr>
        <w:t xml:space="preserve"> </w:t>
      </w:r>
      <w:r w:rsidR="00DE2704" w:rsidRPr="0092258B">
        <w:rPr>
          <w:rFonts w:asciiTheme="minorHAnsi" w:hAnsiTheme="minorHAnsi" w:cstheme="minorHAnsi"/>
          <w:lang w:val="en-US"/>
        </w:rPr>
        <w:t xml:space="preserve">digitizing the road infrastructure with a network of sensors, such as HD cameras that use 5G to send video streams in </w:t>
      </w:r>
      <w:r w:rsidR="00EF1548" w:rsidRPr="0092258B">
        <w:rPr>
          <w:rFonts w:asciiTheme="minorHAnsi" w:hAnsiTheme="minorHAnsi" w:cstheme="minorHAnsi"/>
          <w:lang w:val="en-US"/>
        </w:rPr>
        <w:t>real-time</w:t>
      </w:r>
      <w:r w:rsidR="00DE2704" w:rsidRPr="0092258B">
        <w:rPr>
          <w:rFonts w:asciiTheme="minorHAnsi" w:hAnsiTheme="minorHAnsi" w:cstheme="minorHAnsi"/>
          <w:lang w:val="en-US"/>
        </w:rPr>
        <w:t xml:space="preserve"> to Artificial Intelligence components to analy</w:t>
      </w:r>
      <w:r w:rsidR="0061574E" w:rsidRPr="0092258B">
        <w:rPr>
          <w:rFonts w:asciiTheme="minorHAnsi" w:hAnsiTheme="minorHAnsi" w:cstheme="minorHAnsi"/>
          <w:lang w:val="en-US"/>
        </w:rPr>
        <w:t>z</w:t>
      </w:r>
      <w:r w:rsidR="00DE2704" w:rsidRPr="0092258B">
        <w:rPr>
          <w:rFonts w:asciiTheme="minorHAnsi" w:hAnsiTheme="minorHAnsi" w:cstheme="minorHAnsi"/>
          <w:lang w:val="en-US"/>
        </w:rPr>
        <w:t xml:space="preserve">e road traffic automatically. This </w:t>
      </w:r>
      <w:r w:rsidR="003A1757" w:rsidRPr="0092258B">
        <w:rPr>
          <w:rFonts w:asciiTheme="minorHAnsi" w:hAnsiTheme="minorHAnsi" w:cstheme="minorHAnsi"/>
          <w:lang w:val="en-US"/>
        </w:rPr>
        <w:t xml:space="preserve">will </w:t>
      </w:r>
      <w:r w:rsidR="00DE2704" w:rsidRPr="0092258B">
        <w:rPr>
          <w:rFonts w:asciiTheme="minorHAnsi" w:hAnsiTheme="minorHAnsi" w:cstheme="minorHAnsi"/>
          <w:lang w:val="en-US"/>
        </w:rPr>
        <w:t>allow the road operator to monitor the highway traffic in detail, in 1-or-2 km segments, and manage the traffic intelligently.</w:t>
      </w:r>
    </w:p>
    <w:p w14:paraId="00ADC2E5" w14:textId="3BB147A4" w:rsidR="00533FDC" w:rsidRPr="0092258B" w:rsidRDefault="00533FDC" w:rsidP="0092258B">
      <w:pPr>
        <w:pStyle w:val="TreA"/>
        <w:spacing w:line="276" w:lineRule="auto"/>
        <w:jc w:val="both"/>
        <w:rPr>
          <w:rFonts w:asciiTheme="minorHAnsi" w:hAnsiTheme="minorHAnsi" w:cstheme="minorHAnsi"/>
          <w:lang w:val="en-US"/>
        </w:rPr>
      </w:pPr>
    </w:p>
    <w:p w14:paraId="1B16295C" w14:textId="7B7B87C3" w:rsidR="00B020C0" w:rsidRPr="0092258B" w:rsidRDefault="00540FCC" w:rsidP="0092258B">
      <w:pPr>
        <w:pStyle w:val="TreA"/>
        <w:spacing w:line="276" w:lineRule="auto"/>
        <w:jc w:val="both"/>
        <w:rPr>
          <w:rFonts w:asciiTheme="minorHAnsi" w:hAnsiTheme="minorHAnsi" w:cstheme="minorHAnsi"/>
          <w:b/>
          <w:bCs/>
          <w:lang w:val="en-US"/>
        </w:rPr>
      </w:pPr>
      <w:r w:rsidRPr="0092258B">
        <w:rPr>
          <w:rFonts w:asciiTheme="minorHAnsi" w:hAnsiTheme="minorHAnsi" w:cstheme="minorHAnsi"/>
          <w:i/>
          <w:iCs/>
          <w:lang w:val="en-US"/>
        </w:rPr>
        <w:t xml:space="preserve">We are proud to be able to provide support to the European roadmap to provide continuous and quality connectivity of cross-border road networks, thus promoting improved mobility, road safety and economic development of their areas of influence. </w:t>
      </w:r>
      <w:r w:rsidR="00E31999" w:rsidRPr="0092258B">
        <w:rPr>
          <w:rFonts w:asciiTheme="minorHAnsi" w:hAnsiTheme="minorHAnsi" w:cstheme="minorHAnsi"/>
          <w:i/>
          <w:iCs/>
          <w:lang w:val="en-US"/>
        </w:rPr>
        <w:t>Working together with our Czech Partner on a cross-border corridor connectivity</w:t>
      </w:r>
      <w:r w:rsidR="00B020C0" w:rsidRPr="0092258B">
        <w:rPr>
          <w:rFonts w:asciiTheme="minorHAnsi" w:hAnsiTheme="minorHAnsi" w:cstheme="minorHAnsi"/>
          <w:i/>
          <w:iCs/>
          <w:lang w:val="en-US"/>
        </w:rPr>
        <w:t xml:space="preserve"> is </w:t>
      </w:r>
      <w:r w:rsidR="006F0E25" w:rsidRPr="0092258B">
        <w:rPr>
          <w:rFonts w:asciiTheme="minorHAnsi" w:hAnsiTheme="minorHAnsi" w:cstheme="minorHAnsi"/>
          <w:i/>
          <w:iCs/>
          <w:lang w:val="en-US"/>
        </w:rPr>
        <w:t xml:space="preserve">a </w:t>
      </w:r>
      <w:r w:rsidR="00B020C0" w:rsidRPr="0092258B">
        <w:rPr>
          <w:rFonts w:asciiTheme="minorHAnsi" w:hAnsiTheme="minorHAnsi" w:cstheme="minorHAnsi"/>
          <w:i/>
          <w:iCs/>
          <w:lang w:val="en-US"/>
        </w:rPr>
        <w:t xml:space="preserve">unique example of cooperation </w:t>
      </w:r>
      <w:r w:rsidR="00E31999" w:rsidRPr="0092258B">
        <w:rPr>
          <w:rFonts w:asciiTheme="minorHAnsi" w:hAnsiTheme="minorHAnsi" w:cstheme="minorHAnsi"/>
          <w:i/>
          <w:iCs/>
          <w:lang w:val="en-US"/>
        </w:rPr>
        <w:t>between</w:t>
      </w:r>
      <w:r w:rsidR="00B020C0" w:rsidRPr="0092258B">
        <w:rPr>
          <w:rFonts w:asciiTheme="minorHAnsi" w:hAnsiTheme="minorHAnsi" w:cstheme="minorHAnsi"/>
          <w:i/>
          <w:iCs/>
          <w:lang w:val="en-US"/>
        </w:rPr>
        <w:t xml:space="preserve"> </w:t>
      </w:r>
      <w:r w:rsidR="0039508C" w:rsidRPr="0092258B">
        <w:rPr>
          <w:rFonts w:asciiTheme="minorHAnsi" w:hAnsiTheme="minorHAnsi" w:cstheme="minorHAnsi"/>
          <w:i/>
          <w:lang w:val="en-US"/>
        </w:rPr>
        <w:t xml:space="preserve">independent </w:t>
      </w:r>
      <w:proofErr w:type="spellStart"/>
      <w:r w:rsidR="0039508C" w:rsidRPr="0092258B">
        <w:rPr>
          <w:rFonts w:asciiTheme="minorHAnsi" w:hAnsiTheme="minorHAnsi" w:cstheme="minorHAnsi"/>
          <w:i/>
          <w:iCs/>
          <w:lang w:val="en-US"/>
        </w:rPr>
        <w:t>TowerCo</w:t>
      </w:r>
      <w:proofErr w:type="spellEnd"/>
      <w:r w:rsidR="0039508C" w:rsidRPr="0092258B">
        <w:rPr>
          <w:rFonts w:asciiTheme="minorHAnsi" w:hAnsiTheme="minorHAnsi" w:cstheme="minorHAnsi"/>
          <w:i/>
          <w:iCs/>
          <w:lang w:val="en-US"/>
        </w:rPr>
        <w:t xml:space="preserve"> and a wholesale operator</w:t>
      </w:r>
      <w:r w:rsidR="00E31999" w:rsidRPr="0092258B">
        <w:rPr>
          <w:rFonts w:asciiTheme="minorHAnsi" w:hAnsiTheme="minorHAnsi" w:cstheme="minorHAnsi"/>
          <w:i/>
          <w:iCs/>
          <w:lang w:val="en-US"/>
        </w:rPr>
        <w:t>, exceeding the interests of one particular country.</w:t>
      </w:r>
      <w:r w:rsidR="00B020C0" w:rsidRPr="0092258B">
        <w:rPr>
          <w:rFonts w:asciiTheme="minorHAnsi" w:hAnsiTheme="minorHAnsi" w:cstheme="minorHAnsi"/>
          <w:i/>
          <w:iCs/>
          <w:lang w:val="en-US"/>
        </w:rPr>
        <w:t xml:space="preserve"> </w:t>
      </w:r>
      <w:r w:rsidR="00E31999" w:rsidRPr="0092258B">
        <w:rPr>
          <w:rFonts w:asciiTheme="minorHAnsi" w:hAnsiTheme="minorHAnsi" w:cstheme="minorHAnsi"/>
          <w:i/>
          <w:iCs/>
          <w:lang w:val="en-US"/>
        </w:rPr>
        <w:t>I am sure this project will be significant in securing</w:t>
      </w:r>
      <w:r w:rsidR="00B020C0" w:rsidRPr="0092258B">
        <w:rPr>
          <w:rFonts w:asciiTheme="minorHAnsi" w:hAnsiTheme="minorHAnsi" w:cstheme="minorHAnsi"/>
          <w:i/>
          <w:iCs/>
          <w:lang w:val="en-US"/>
        </w:rPr>
        <w:t xml:space="preserve"> seamless </w:t>
      </w:r>
      <w:r w:rsidR="00391D59" w:rsidRPr="0092258B">
        <w:rPr>
          <w:rFonts w:asciiTheme="minorHAnsi" w:hAnsiTheme="minorHAnsi" w:cstheme="minorHAnsi"/>
          <w:i/>
          <w:iCs/>
          <w:lang w:val="en-US"/>
        </w:rPr>
        <w:t xml:space="preserve">communication </w:t>
      </w:r>
      <w:r w:rsidR="00E31999" w:rsidRPr="0092258B">
        <w:rPr>
          <w:rFonts w:asciiTheme="minorHAnsi" w:hAnsiTheme="minorHAnsi" w:cstheme="minorHAnsi"/>
          <w:i/>
          <w:iCs/>
          <w:lang w:val="en-US"/>
        </w:rPr>
        <w:t>o</w:t>
      </w:r>
      <w:r w:rsidR="00B020C0" w:rsidRPr="0092258B">
        <w:rPr>
          <w:rFonts w:asciiTheme="minorHAnsi" w:hAnsiTheme="minorHAnsi" w:cstheme="minorHAnsi"/>
          <w:i/>
          <w:iCs/>
          <w:lang w:val="en-US"/>
        </w:rPr>
        <w:t xml:space="preserve">n a crucial </w:t>
      </w:r>
      <w:r w:rsidR="00391D59" w:rsidRPr="0092258B">
        <w:rPr>
          <w:rFonts w:asciiTheme="minorHAnsi" w:hAnsiTheme="minorHAnsi" w:cstheme="minorHAnsi"/>
          <w:i/>
          <w:iCs/>
          <w:lang w:val="en-US"/>
        </w:rPr>
        <w:t xml:space="preserve">transportation </w:t>
      </w:r>
      <w:r w:rsidR="00E31999" w:rsidRPr="0092258B">
        <w:rPr>
          <w:rFonts w:asciiTheme="minorHAnsi" w:hAnsiTheme="minorHAnsi" w:cstheme="minorHAnsi"/>
          <w:i/>
          <w:iCs/>
          <w:lang w:val="en-US"/>
        </w:rPr>
        <w:t>route</w:t>
      </w:r>
      <w:r w:rsidR="00B020C0" w:rsidRPr="0092258B">
        <w:rPr>
          <w:rFonts w:asciiTheme="minorHAnsi" w:hAnsiTheme="minorHAnsi" w:cstheme="minorHAnsi"/>
          <w:i/>
          <w:iCs/>
          <w:lang w:val="en-US"/>
        </w:rPr>
        <w:t xml:space="preserve"> for European businesses</w:t>
      </w:r>
      <w:r w:rsidR="00E27A61" w:rsidRPr="0092258B">
        <w:rPr>
          <w:rFonts w:asciiTheme="minorHAnsi" w:hAnsiTheme="minorHAnsi" w:cstheme="minorHAnsi"/>
          <w:i/>
          <w:iCs/>
          <w:lang w:val="en-US"/>
        </w:rPr>
        <w:t>.</w:t>
      </w:r>
      <w:r w:rsidR="00E31999" w:rsidRPr="0092258B">
        <w:rPr>
          <w:rFonts w:asciiTheme="minorHAnsi" w:hAnsiTheme="minorHAnsi" w:cstheme="minorHAnsi"/>
          <w:i/>
          <w:iCs/>
          <w:lang w:val="en-US"/>
        </w:rPr>
        <w:t xml:space="preserve">– said </w:t>
      </w:r>
      <w:r w:rsidR="00E31999" w:rsidRPr="0092258B">
        <w:rPr>
          <w:rFonts w:asciiTheme="minorHAnsi" w:hAnsiTheme="minorHAnsi" w:cstheme="minorHAnsi"/>
          <w:b/>
          <w:bCs/>
          <w:i/>
          <w:iCs/>
          <w:lang w:val="en-US"/>
        </w:rPr>
        <w:t xml:space="preserve">Santiago Argelich Hesse, </w:t>
      </w:r>
      <w:r w:rsidR="00E31999" w:rsidRPr="0092258B">
        <w:rPr>
          <w:rFonts w:asciiTheme="minorHAnsi" w:hAnsiTheme="minorHAnsi" w:cstheme="minorHAnsi"/>
          <w:b/>
          <w:bCs/>
          <w:lang w:val="en-US"/>
        </w:rPr>
        <w:t>CEO of Cellnex Poland.</w:t>
      </w:r>
    </w:p>
    <w:p w14:paraId="72A6CBF9" w14:textId="77777777" w:rsidR="00E31999" w:rsidRPr="0092258B" w:rsidRDefault="00E31999" w:rsidP="0092258B">
      <w:pPr>
        <w:pStyle w:val="TreA"/>
        <w:spacing w:line="276" w:lineRule="auto"/>
        <w:jc w:val="both"/>
        <w:rPr>
          <w:rFonts w:asciiTheme="minorHAnsi" w:hAnsiTheme="minorHAnsi" w:cstheme="minorHAnsi"/>
          <w:lang w:val="en-US"/>
        </w:rPr>
      </w:pPr>
    </w:p>
    <w:p w14:paraId="312125E3" w14:textId="77777777" w:rsidR="003A1757" w:rsidRPr="0092258B" w:rsidRDefault="003A1757" w:rsidP="0092258B">
      <w:pPr>
        <w:pStyle w:val="TreA"/>
        <w:spacing w:line="276" w:lineRule="auto"/>
        <w:jc w:val="both"/>
        <w:rPr>
          <w:rFonts w:asciiTheme="minorHAnsi" w:hAnsiTheme="minorHAnsi" w:cstheme="minorHAnsi"/>
          <w:b/>
          <w:bCs/>
          <w:color w:val="auto"/>
          <w:lang w:val="en-US"/>
        </w:rPr>
      </w:pPr>
      <w:r w:rsidRPr="0092258B">
        <w:rPr>
          <w:rFonts w:asciiTheme="minorHAnsi" w:hAnsiTheme="minorHAnsi" w:cstheme="minorHAnsi"/>
          <w:i/>
          <w:iCs/>
          <w:lang w:val="en-US"/>
        </w:rPr>
        <w:t xml:space="preserve">"We are excited to be part of the BALTCOR5G initiative, working alongside Towerlink Poland to deploy shared 5G infrastructure in cross-border areas between the Czech Republic and Poland. This collaboration underscores our commitment to extend and improve 5G coverage in all underserved areas. With the support of European Union’s CEF funding, we aim to pave the way for innovative digital infrastructure solutions like Connected Automated Mobility," </w:t>
      </w:r>
      <w:r w:rsidRPr="0092258B">
        <w:rPr>
          <w:rFonts w:asciiTheme="minorHAnsi" w:hAnsiTheme="minorHAnsi" w:cstheme="minorHAnsi"/>
          <w:lang w:val="en-US"/>
        </w:rPr>
        <w:t xml:space="preserve">said </w:t>
      </w:r>
      <w:proofErr w:type="spellStart"/>
      <w:r w:rsidRPr="0092258B">
        <w:rPr>
          <w:rFonts w:asciiTheme="minorHAnsi" w:hAnsiTheme="minorHAnsi" w:cstheme="minorHAnsi"/>
          <w:b/>
          <w:bCs/>
          <w:lang w:val="en-US"/>
        </w:rPr>
        <w:t>Juraj</w:t>
      </w:r>
      <w:proofErr w:type="spellEnd"/>
      <w:r w:rsidRPr="0092258B">
        <w:rPr>
          <w:rFonts w:asciiTheme="minorHAnsi" w:hAnsiTheme="minorHAnsi" w:cstheme="minorHAnsi"/>
          <w:b/>
          <w:bCs/>
          <w:lang w:val="en-US"/>
        </w:rPr>
        <w:t xml:space="preserve"> </w:t>
      </w:r>
      <w:proofErr w:type="spellStart"/>
      <w:r w:rsidRPr="0092258B">
        <w:rPr>
          <w:rFonts w:asciiTheme="minorHAnsi" w:hAnsiTheme="minorHAnsi" w:cstheme="minorHAnsi"/>
          <w:b/>
          <w:bCs/>
          <w:lang w:val="en-US"/>
        </w:rPr>
        <w:t>Šedivý</w:t>
      </w:r>
      <w:proofErr w:type="spellEnd"/>
      <w:r w:rsidRPr="0092258B">
        <w:rPr>
          <w:rFonts w:asciiTheme="minorHAnsi" w:hAnsiTheme="minorHAnsi" w:cstheme="minorHAnsi"/>
          <w:b/>
          <w:bCs/>
          <w:lang w:val="en-US"/>
        </w:rPr>
        <w:t>, CEO of Cetin Group.</w:t>
      </w:r>
    </w:p>
    <w:p w14:paraId="11022514" w14:textId="77777777" w:rsidR="00E31999" w:rsidRPr="0092258B" w:rsidRDefault="00E31999" w:rsidP="0092258B">
      <w:pPr>
        <w:pStyle w:val="TreA"/>
        <w:spacing w:line="276" w:lineRule="auto"/>
        <w:jc w:val="both"/>
        <w:rPr>
          <w:rFonts w:asciiTheme="minorHAnsi" w:hAnsiTheme="minorHAnsi" w:cstheme="minorHAnsi"/>
          <w:i/>
          <w:iCs/>
          <w:lang w:val="en-US"/>
        </w:rPr>
      </w:pPr>
    </w:p>
    <w:p w14:paraId="05417850" w14:textId="31EAA0EC" w:rsidR="00B020C0"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Additionally,</w:t>
      </w:r>
      <w:r w:rsidR="004170D2" w:rsidRPr="0092258B">
        <w:rPr>
          <w:rFonts w:asciiTheme="minorHAnsi" w:hAnsiTheme="minorHAnsi" w:cstheme="minorHAnsi"/>
          <w:lang w:val="en-US"/>
        </w:rPr>
        <w:t xml:space="preserve"> </w:t>
      </w:r>
      <w:r w:rsidR="004922AA" w:rsidRPr="0092258B">
        <w:rPr>
          <w:rFonts w:asciiTheme="minorHAnsi" w:hAnsiTheme="minorHAnsi" w:cstheme="minorHAnsi"/>
          <w:lang w:val="en-US"/>
        </w:rPr>
        <w:t xml:space="preserve">Cellnex </w:t>
      </w:r>
      <w:r w:rsidR="00EF1548" w:rsidRPr="0092258B">
        <w:rPr>
          <w:rFonts w:asciiTheme="minorHAnsi" w:hAnsiTheme="minorHAnsi" w:cstheme="minorHAnsi"/>
          <w:lang w:val="en-US"/>
        </w:rPr>
        <w:t xml:space="preserve">and </w:t>
      </w:r>
      <w:r w:rsidR="00677ACD" w:rsidRPr="0092258B">
        <w:rPr>
          <w:rFonts w:asciiTheme="minorHAnsi" w:hAnsiTheme="minorHAnsi" w:cstheme="minorHAnsi"/>
          <w:lang w:val="en-US"/>
        </w:rPr>
        <w:t>CETIN</w:t>
      </w:r>
      <w:r w:rsidR="00EF1548" w:rsidRPr="0092258B">
        <w:rPr>
          <w:rFonts w:asciiTheme="minorHAnsi" w:hAnsiTheme="minorHAnsi" w:cstheme="minorHAnsi"/>
          <w:lang w:val="en-US"/>
        </w:rPr>
        <w:t xml:space="preserve"> </w:t>
      </w:r>
      <w:r w:rsidRPr="0092258B">
        <w:rPr>
          <w:rFonts w:asciiTheme="minorHAnsi" w:hAnsiTheme="minorHAnsi" w:cstheme="minorHAnsi"/>
          <w:lang w:val="en-US"/>
        </w:rPr>
        <w:t xml:space="preserve">plan to deploy the infrastructure that allows benefiting from Connected </w:t>
      </w:r>
      <w:r w:rsidR="00D0524D" w:rsidRPr="0092258B">
        <w:rPr>
          <w:rFonts w:asciiTheme="minorHAnsi" w:hAnsiTheme="minorHAnsi" w:cstheme="minorHAnsi"/>
          <w:lang w:val="en-US"/>
        </w:rPr>
        <w:t xml:space="preserve">and </w:t>
      </w:r>
      <w:r w:rsidRPr="0092258B">
        <w:rPr>
          <w:rFonts w:asciiTheme="minorHAnsi" w:hAnsiTheme="minorHAnsi" w:cstheme="minorHAnsi"/>
          <w:lang w:val="en-US"/>
        </w:rPr>
        <w:t>Automated Mobility</w:t>
      </w:r>
      <w:r w:rsidR="00D0524D" w:rsidRPr="0092258B">
        <w:rPr>
          <w:rFonts w:asciiTheme="minorHAnsi" w:hAnsiTheme="minorHAnsi" w:cstheme="minorHAnsi"/>
          <w:lang w:val="en-US"/>
        </w:rPr>
        <w:t xml:space="preserve"> (CAM)</w:t>
      </w:r>
      <w:r w:rsidRPr="0092258B">
        <w:rPr>
          <w:rFonts w:asciiTheme="minorHAnsi" w:hAnsiTheme="minorHAnsi" w:cstheme="minorHAnsi"/>
          <w:lang w:val="en-US"/>
        </w:rPr>
        <w:t xml:space="preserve"> solutions in the future. Thanks to CEF</w:t>
      </w:r>
      <w:r w:rsidR="00D0524D" w:rsidRPr="0092258B">
        <w:rPr>
          <w:rFonts w:asciiTheme="minorHAnsi" w:hAnsiTheme="minorHAnsi" w:cstheme="minorHAnsi"/>
          <w:lang w:val="en-US"/>
        </w:rPr>
        <w:t xml:space="preserve"> Digital</w:t>
      </w:r>
      <w:r w:rsidRPr="0092258B">
        <w:rPr>
          <w:rFonts w:asciiTheme="minorHAnsi" w:hAnsiTheme="minorHAnsi" w:cstheme="minorHAnsi"/>
          <w:lang w:val="en-US"/>
        </w:rPr>
        <w:t xml:space="preserve"> subsidy beneficiaries will be </w:t>
      </w:r>
      <w:r w:rsidR="003A1757" w:rsidRPr="0092258B">
        <w:rPr>
          <w:rFonts w:asciiTheme="minorHAnsi" w:hAnsiTheme="minorHAnsi" w:cstheme="minorHAnsi"/>
          <w:lang w:val="en-US"/>
        </w:rPr>
        <w:t xml:space="preserve">able </w:t>
      </w:r>
      <w:r w:rsidRPr="0092258B">
        <w:rPr>
          <w:rFonts w:asciiTheme="minorHAnsi" w:hAnsiTheme="minorHAnsi" w:cstheme="minorHAnsi"/>
          <w:lang w:val="en-US"/>
        </w:rPr>
        <w:t xml:space="preserve">to offer a neutral infrastructure to </w:t>
      </w:r>
      <w:r w:rsidR="00F706BE" w:rsidRPr="0092258B">
        <w:rPr>
          <w:rFonts w:asciiTheme="minorHAnsi" w:hAnsiTheme="minorHAnsi" w:cstheme="minorHAnsi"/>
          <w:lang w:val="en-US"/>
        </w:rPr>
        <w:t>different</w:t>
      </w:r>
      <w:r w:rsidRPr="0092258B">
        <w:rPr>
          <w:rFonts w:asciiTheme="minorHAnsi" w:hAnsiTheme="minorHAnsi" w:cstheme="minorHAnsi"/>
          <w:lang w:val="en-US"/>
        </w:rPr>
        <w:t xml:space="preserve"> stakeholders (like Mobile Network Operators (MNOs) or road administrators), which would not be possible otherwise.</w:t>
      </w:r>
    </w:p>
    <w:p w14:paraId="0160DB7E" w14:textId="77777777" w:rsidR="00533FDC" w:rsidRPr="0092258B" w:rsidRDefault="00533FDC" w:rsidP="0092258B">
      <w:pPr>
        <w:pStyle w:val="TreA"/>
        <w:spacing w:line="276" w:lineRule="auto"/>
        <w:jc w:val="both"/>
        <w:rPr>
          <w:rFonts w:asciiTheme="minorHAnsi" w:hAnsiTheme="minorHAnsi" w:cstheme="minorHAnsi"/>
          <w:lang w:val="en-US"/>
        </w:rPr>
      </w:pPr>
    </w:p>
    <w:p w14:paraId="7BD121D0" w14:textId="652A39A7" w:rsidR="00533FDC"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Project's plan assumes the deployment of two categories of infrastructure. </w:t>
      </w:r>
      <w:r w:rsidR="00EF1548" w:rsidRPr="0092258B">
        <w:rPr>
          <w:rFonts w:asciiTheme="minorHAnsi" w:hAnsiTheme="minorHAnsi" w:cstheme="minorHAnsi"/>
          <w:lang w:val="en-US"/>
        </w:rPr>
        <w:t>The f</w:t>
      </w:r>
      <w:r w:rsidRPr="0092258B">
        <w:rPr>
          <w:rFonts w:asciiTheme="minorHAnsi" w:hAnsiTheme="minorHAnsi" w:cstheme="minorHAnsi"/>
          <w:lang w:val="en-US"/>
        </w:rPr>
        <w:t>irst category concerns a shared 5G infrastructure and includes passive, active, and transmission layers. Thanks to the deployment of passive infrastructure the MNOs can host their 5G macro equipment (including C-Band</w:t>
      </w:r>
      <w:r w:rsidR="003A1757" w:rsidRPr="0092258B">
        <w:rPr>
          <w:rFonts w:asciiTheme="minorHAnsi" w:hAnsiTheme="minorHAnsi" w:cstheme="minorHAnsi"/>
          <w:lang w:val="en-US"/>
        </w:rPr>
        <w:t xml:space="preserve"> allocated to MNOs</w:t>
      </w:r>
      <w:r w:rsidRPr="0092258B">
        <w:rPr>
          <w:rFonts w:asciiTheme="minorHAnsi" w:hAnsiTheme="minorHAnsi" w:cstheme="minorHAnsi"/>
          <w:lang w:val="en-US"/>
        </w:rPr>
        <w:t>) to provide coverage. Transmission infrastructure will ensure data transfers to newly deployed sites, and their connection to the core networks of operators.</w:t>
      </w:r>
    </w:p>
    <w:p w14:paraId="210B1121" w14:textId="77777777" w:rsidR="00533FDC" w:rsidRPr="0092258B" w:rsidRDefault="00533FDC" w:rsidP="0092258B">
      <w:pPr>
        <w:pStyle w:val="TreA"/>
        <w:spacing w:line="276" w:lineRule="auto"/>
        <w:jc w:val="both"/>
        <w:rPr>
          <w:rFonts w:asciiTheme="minorHAnsi" w:hAnsiTheme="minorHAnsi" w:cstheme="minorHAnsi"/>
          <w:lang w:val="en-US"/>
        </w:rPr>
      </w:pPr>
    </w:p>
    <w:p w14:paraId="409CDD41" w14:textId="3E6368C1" w:rsidR="00533FDC"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The second category of infrastructure concerns </w:t>
      </w:r>
      <w:r w:rsidR="00D0524D" w:rsidRPr="0092258B">
        <w:rPr>
          <w:rFonts w:asciiTheme="minorHAnsi" w:hAnsiTheme="minorHAnsi" w:cstheme="minorHAnsi"/>
          <w:lang w:val="en-US"/>
        </w:rPr>
        <w:t>CAM</w:t>
      </w:r>
      <w:r w:rsidRPr="0092258B">
        <w:rPr>
          <w:rFonts w:asciiTheme="minorHAnsi" w:hAnsiTheme="minorHAnsi" w:cstheme="minorHAnsi"/>
          <w:lang w:val="en-US"/>
        </w:rPr>
        <w:t xml:space="preserve"> solutions.  Implementation of this part of the project will begin with deployment of MEC layer at the sites near the road, to process locally the data collected from the customers, assuring low latency times. This infrastructure is intended to be neutral and shared between various stakeholders – both telecommunication companies, road administrators and enterprises. It ensures lowest costs and the shortest time to market to deploy advanced final customer services.</w:t>
      </w:r>
    </w:p>
    <w:p w14:paraId="3ED06447" w14:textId="77777777" w:rsidR="00F706BE" w:rsidRPr="0092258B" w:rsidRDefault="00F706BE" w:rsidP="0092258B">
      <w:pPr>
        <w:pStyle w:val="TreA"/>
        <w:spacing w:line="276" w:lineRule="auto"/>
        <w:jc w:val="both"/>
        <w:rPr>
          <w:rFonts w:asciiTheme="minorHAnsi" w:hAnsiTheme="minorHAnsi" w:cstheme="minorHAnsi"/>
          <w:b/>
          <w:bCs/>
          <w:lang w:val="en-US"/>
        </w:rPr>
      </w:pPr>
    </w:p>
    <w:p w14:paraId="04AC6D20" w14:textId="32BDC663" w:rsidR="00533FDC" w:rsidRPr="0092258B" w:rsidRDefault="00533FDC" w:rsidP="0092258B">
      <w:pPr>
        <w:pStyle w:val="TreA"/>
        <w:spacing w:line="276" w:lineRule="auto"/>
        <w:jc w:val="both"/>
        <w:rPr>
          <w:rFonts w:asciiTheme="minorHAnsi" w:hAnsiTheme="minorHAnsi" w:cstheme="minorHAnsi"/>
          <w:b/>
          <w:bCs/>
          <w:lang w:val="en-US"/>
        </w:rPr>
      </w:pPr>
      <w:r w:rsidRPr="0092258B">
        <w:rPr>
          <w:rFonts w:asciiTheme="minorHAnsi" w:hAnsiTheme="minorHAnsi" w:cstheme="minorHAnsi"/>
          <w:b/>
          <w:bCs/>
          <w:lang w:val="en-US"/>
        </w:rPr>
        <w:t>About CEF</w:t>
      </w:r>
      <w:r w:rsidR="00D0524D" w:rsidRPr="0092258B">
        <w:rPr>
          <w:rFonts w:asciiTheme="minorHAnsi" w:hAnsiTheme="minorHAnsi" w:cstheme="minorHAnsi"/>
          <w:b/>
          <w:bCs/>
          <w:lang w:val="en-US"/>
        </w:rPr>
        <w:t xml:space="preserve"> Digital</w:t>
      </w:r>
    </w:p>
    <w:p w14:paraId="65E327FC" w14:textId="77777777" w:rsidR="00533FDC" w:rsidRPr="0092258B" w:rsidRDefault="00533FDC" w:rsidP="0092258B">
      <w:pPr>
        <w:pStyle w:val="TreA"/>
        <w:spacing w:line="276" w:lineRule="auto"/>
        <w:jc w:val="both"/>
        <w:rPr>
          <w:rFonts w:asciiTheme="minorHAnsi" w:hAnsiTheme="minorHAnsi" w:cstheme="minorHAnsi"/>
          <w:lang w:val="en-US"/>
        </w:rPr>
      </w:pPr>
    </w:p>
    <w:p w14:paraId="5681D3B3" w14:textId="4198E7DB" w:rsidR="00533FDC" w:rsidRPr="0092258B" w:rsidRDefault="00000000" w:rsidP="0092258B">
      <w:pPr>
        <w:pStyle w:val="TreA"/>
        <w:spacing w:line="276" w:lineRule="auto"/>
        <w:jc w:val="both"/>
        <w:rPr>
          <w:rFonts w:asciiTheme="minorHAnsi" w:hAnsiTheme="minorHAnsi" w:cstheme="minorHAnsi"/>
          <w:lang w:val="en-US"/>
        </w:rPr>
      </w:pPr>
      <w:hyperlink r:id="rId11" w:history="1">
        <w:r w:rsidR="00D0524D" w:rsidRPr="0092258B">
          <w:rPr>
            <w:rStyle w:val="Hipercze"/>
            <w:rFonts w:asciiTheme="minorHAnsi" w:hAnsiTheme="minorHAnsi" w:cstheme="minorHAnsi"/>
            <w:b/>
            <w:bCs/>
            <w:lang w:val="en-US"/>
          </w:rPr>
          <w:t xml:space="preserve">CEF Digital </w:t>
        </w:r>
        <w:proofErr w:type="spellStart"/>
        <w:r w:rsidR="00D0524D" w:rsidRPr="0092258B">
          <w:rPr>
            <w:rStyle w:val="Hipercze"/>
            <w:rFonts w:asciiTheme="minorHAnsi" w:hAnsiTheme="minorHAnsi" w:cstheme="minorHAnsi"/>
            <w:b/>
            <w:bCs/>
            <w:lang w:val="en-US"/>
          </w:rPr>
          <w:t>Programme</w:t>
        </w:r>
        <w:proofErr w:type="spellEnd"/>
      </w:hyperlink>
      <w:r w:rsidR="00DE2704" w:rsidRPr="0092258B" w:rsidDel="00DE2704">
        <w:rPr>
          <w:rFonts w:asciiTheme="minorHAnsi" w:hAnsiTheme="minorHAnsi" w:cstheme="minorHAnsi"/>
          <w:lang w:val="en-US"/>
        </w:rPr>
        <w:t xml:space="preserve"> </w:t>
      </w:r>
      <w:r w:rsidR="00533FDC" w:rsidRPr="0092258B">
        <w:rPr>
          <w:rFonts w:asciiTheme="minorHAnsi" w:hAnsiTheme="minorHAnsi" w:cstheme="minorHAnsi"/>
          <w:lang w:val="en-US"/>
        </w:rPr>
        <w:t xml:space="preserve">promotes public and private investment, contributing to the creation of </w:t>
      </w:r>
      <w:hyperlink r:id="rId12" w:history="1">
        <w:r w:rsidR="00D0524D" w:rsidRPr="0092258B">
          <w:rPr>
            <w:rStyle w:val="Hipercze"/>
            <w:rFonts w:asciiTheme="minorHAnsi" w:hAnsiTheme="minorHAnsi" w:cstheme="minorHAnsi"/>
            <w:lang w:val="en-US"/>
          </w:rPr>
          <w:t>5G cross-border corridors</w:t>
        </w:r>
      </w:hyperlink>
      <w:r w:rsidR="00D0524D" w:rsidRPr="0092258B">
        <w:rPr>
          <w:rFonts w:asciiTheme="minorHAnsi" w:hAnsiTheme="minorHAnsi" w:cstheme="minorHAnsi"/>
          <w:lang w:val="en-US"/>
        </w:rPr>
        <w:t xml:space="preserve"> </w:t>
      </w:r>
      <w:r w:rsidR="00533FDC" w:rsidRPr="0092258B">
        <w:rPr>
          <w:rFonts w:asciiTheme="minorHAnsi" w:hAnsiTheme="minorHAnsi" w:cstheme="minorHAnsi"/>
          <w:lang w:val="en-US"/>
        </w:rPr>
        <w:t xml:space="preserve">projects of European interest.  At the same time, it benefits the establishment of a secure and sustainable high-performance infrastructure, including Gigabit and 5G networks. The improvement of the infrastructure will be one of the key milestones for achieving the digital transformation of the continent and for ensuring that Gigabit connectivity reaches all EU homes by 2030. The program aims to strengthen connectivity networks by supporting new backbone infrastructures or improving existing ones. </w:t>
      </w:r>
    </w:p>
    <w:p w14:paraId="4DA35C1C" w14:textId="77777777" w:rsidR="00533FDC" w:rsidRPr="0092258B" w:rsidRDefault="00533FDC" w:rsidP="0092258B">
      <w:pPr>
        <w:pStyle w:val="TreA"/>
        <w:spacing w:line="276" w:lineRule="auto"/>
        <w:jc w:val="both"/>
        <w:rPr>
          <w:rFonts w:asciiTheme="minorHAnsi" w:hAnsiTheme="minorHAnsi" w:cstheme="minorHAnsi"/>
          <w:lang w:val="en-US"/>
        </w:rPr>
      </w:pPr>
    </w:p>
    <w:p w14:paraId="0F116F19" w14:textId="32DBF5D6" w:rsidR="00533FDC"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The main actions foreseen under CEF</w:t>
      </w:r>
      <w:r w:rsidR="00DE2704" w:rsidRPr="0092258B">
        <w:rPr>
          <w:rFonts w:asciiTheme="minorHAnsi" w:hAnsiTheme="minorHAnsi" w:cstheme="minorHAnsi"/>
          <w:lang w:val="en-US"/>
        </w:rPr>
        <w:t xml:space="preserve"> Digital</w:t>
      </w:r>
      <w:r w:rsidRPr="0092258B">
        <w:rPr>
          <w:rFonts w:asciiTheme="minorHAnsi" w:hAnsiTheme="minorHAnsi" w:cstheme="minorHAnsi"/>
          <w:lang w:val="en-US"/>
        </w:rPr>
        <w:t xml:space="preserve"> include:</w:t>
      </w:r>
    </w:p>
    <w:p w14:paraId="2ADFCC27" w14:textId="77777777" w:rsidR="00533FDC" w:rsidRPr="0092258B" w:rsidRDefault="00533FDC" w:rsidP="0092258B">
      <w:pPr>
        <w:pStyle w:val="TreA"/>
        <w:spacing w:line="276" w:lineRule="auto"/>
        <w:jc w:val="both"/>
        <w:rPr>
          <w:rFonts w:asciiTheme="minorHAnsi" w:hAnsiTheme="minorHAnsi" w:cstheme="minorHAnsi"/>
          <w:lang w:val="en-US"/>
        </w:rPr>
      </w:pPr>
    </w:p>
    <w:p w14:paraId="66A7C53D" w14:textId="77777777" w:rsidR="00533FDC" w:rsidRPr="0092258B" w:rsidRDefault="00533FDC" w:rsidP="0092258B">
      <w:pPr>
        <w:pStyle w:val="TreA"/>
        <w:numPr>
          <w:ilvl w:val="0"/>
          <w:numId w:val="8"/>
        </w:numPr>
        <w:spacing w:line="276" w:lineRule="auto"/>
        <w:jc w:val="both"/>
        <w:rPr>
          <w:rFonts w:asciiTheme="minorHAnsi" w:hAnsiTheme="minorHAnsi" w:cstheme="minorHAnsi"/>
          <w:lang w:val="en-US"/>
        </w:rPr>
      </w:pPr>
      <w:r w:rsidRPr="0092258B">
        <w:rPr>
          <w:rFonts w:asciiTheme="minorHAnsi" w:hAnsiTheme="minorHAnsi" w:cstheme="minorHAnsi"/>
          <w:lang w:val="en-US"/>
        </w:rPr>
        <w:t>Deploying very high-capacity networks, including 5G systems, in areas where socioeconomic drivers are located.</w:t>
      </w:r>
    </w:p>
    <w:p w14:paraId="4D46A387" w14:textId="77777777" w:rsidR="00533FDC" w:rsidRPr="0092258B" w:rsidRDefault="00533FDC" w:rsidP="0092258B">
      <w:pPr>
        <w:pStyle w:val="TreA"/>
        <w:numPr>
          <w:ilvl w:val="0"/>
          <w:numId w:val="8"/>
        </w:numPr>
        <w:spacing w:line="276" w:lineRule="auto"/>
        <w:jc w:val="both"/>
        <w:rPr>
          <w:rFonts w:asciiTheme="minorHAnsi" w:hAnsiTheme="minorHAnsi" w:cstheme="minorHAnsi"/>
          <w:lang w:val="en-US"/>
        </w:rPr>
      </w:pPr>
      <w:r w:rsidRPr="0092258B">
        <w:rPr>
          <w:rFonts w:asciiTheme="minorHAnsi" w:hAnsiTheme="minorHAnsi" w:cstheme="minorHAnsi"/>
          <w:lang w:val="en-US"/>
        </w:rPr>
        <w:t>Guaranteeing uninterrupted coverage with 5G systems of all major transport paths, including the trans-European transport networks.</w:t>
      </w:r>
    </w:p>
    <w:p w14:paraId="29FC613D" w14:textId="77777777" w:rsidR="00533FDC" w:rsidRPr="0092258B" w:rsidRDefault="00533FDC" w:rsidP="0092258B">
      <w:pPr>
        <w:pStyle w:val="TreA"/>
        <w:numPr>
          <w:ilvl w:val="0"/>
          <w:numId w:val="8"/>
        </w:numPr>
        <w:spacing w:line="276" w:lineRule="auto"/>
        <w:jc w:val="both"/>
        <w:rPr>
          <w:rFonts w:asciiTheme="minorHAnsi" w:hAnsiTheme="minorHAnsi" w:cstheme="minorHAnsi"/>
          <w:lang w:val="en-US"/>
        </w:rPr>
      </w:pPr>
      <w:r w:rsidRPr="0092258B">
        <w:rPr>
          <w:rFonts w:asciiTheme="minorHAnsi" w:hAnsiTheme="minorHAnsi" w:cstheme="minorHAnsi"/>
          <w:lang w:val="en-US"/>
        </w:rPr>
        <w:t>Deploying new or a significant upgrade of existing backbone networks, within and between Member States and between the Union and third countries.</w:t>
      </w:r>
    </w:p>
    <w:p w14:paraId="522B29EA" w14:textId="77777777" w:rsidR="00533FDC" w:rsidRPr="0092258B" w:rsidRDefault="00533FDC" w:rsidP="0092258B">
      <w:pPr>
        <w:pStyle w:val="TreA"/>
        <w:numPr>
          <w:ilvl w:val="0"/>
          <w:numId w:val="8"/>
        </w:numPr>
        <w:spacing w:line="276" w:lineRule="auto"/>
        <w:jc w:val="both"/>
        <w:rPr>
          <w:rFonts w:asciiTheme="minorHAnsi" w:hAnsiTheme="minorHAnsi" w:cstheme="minorHAnsi"/>
          <w:lang w:val="en-US"/>
        </w:rPr>
      </w:pPr>
      <w:r w:rsidRPr="0092258B">
        <w:rPr>
          <w:rFonts w:asciiTheme="minorHAnsi" w:hAnsiTheme="minorHAnsi" w:cstheme="minorHAnsi"/>
          <w:lang w:val="en-US"/>
        </w:rPr>
        <w:t>Implementing and supporting digital connectivity infrastructure related to cross-border projects in the areas of transport or Energy.</w:t>
      </w:r>
    </w:p>
    <w:p w14:paraId="24F4B442" w14:textId="77777777" w:rsidR="008019B9" w:rsidRPr="0092258B" w:rsidRDefault="008019B9" w:rsidP="0092258B">
      <w:pPr>
        <w:pStyle w:val="Bezodstpw"/>
        <w:spacing w:line="276" w:lineRule="auto"/>
        <w:jc w:val="both"/>
        <w:rPr>
          <w:rFonts w:eastAsia="Times New Roman" w:cstheme="minorHAnsi"/>
          <w:color w:val="000000"/>
          <w:sz w:val="22"/>
          <w:szCs w:val="22"/>
          <w:lang w:val="en-US" w:eastAsia="pl-PL"/>
        </w:rPr>
      </w:pPr>
    </w:p>
    <w:p w14:paraId="0114425C" w14:textId="26A68D4C" w:rsidR="00533FDC" w:rsidRPr="0092258B" w:rsidRDefault="00533FDC" w:rsidP="0092258B">
      <w:pPr>
        <w:pStyle w:val="TreA"/>
        <w:spacing w:line="276" w:lineRule="auto"/>
        <w:jc w:val="both"/>
        <w:rPr>
          <w:rFonts w:asciiTheme="minorHAnsi" w:hAnsiTheme="minorHAnsi" w:cstheme="minorHAnsi"/>
          <w:b/>
          <w:bCs/>
          <w:lang w:val="en-US"/>
        </w:rPr>
      </w:pPr>
      <w:r w:rsidRPr="0092258B">
        <w:rPr>
          <w:rFonts w:asciiTheme="minorHAnsi" w:hAnsiTheme="minorHAnsi" w:cstheme="minorHAnsi"/>
          <w:b/>
          <w:bCs/>
          <w:lang w:val="en-US"/>
        </w:rPr>
        <w:t xml:space="preserve">About Cellnex </w:t>
      </w:r>
      <w:r w:rsidR="00F706BE" w:rsidRPr="0092258B">
        <w:rPr>
          <w:rFonts w:asciiTheme="minorHAnsi" w:hAnsiTheme="minorHAnsi" w:cstheme="minorHAnsi"/>
          <w:b/>
          <w:bCs/>
          <w:lang w:val="en-US"/>
        </w:rPr>
        <w:t>Telecom</w:t>
      </w:r>
    </w:p>
    <w:p w14:paraId="01426824" w14:textId="77777777" w:rsidR="00533FDC" w:rsidRPr="0092258B" w:rsidRDefault="00533FDC" w:rsidP="0092258B">
      <w:pPr>
        <w:pStyle w:val="TreA"/>
        <w:spacing w:line="276" w:lineRule="auto"/>
        <w:jc w:val="both"/>
        <w:rPr>
          <w:rFonts w:asciiTheme="minorHAnsi" w:hAnsiTheme="minorHAnsi" w:cstheme="minorHAnsi"/>
          <w:lang w:val="en-US"/>
        </w:rPr>
      </w:pPr>
    </w:p>
    <w:p w14:paraId="6BA1E0B4" w14:textId="4D07F93F" w:rsidR="00533FDC"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The efficient deployment of next-generation connectivity is essential to drive technological innovation and accelerate inclusive economic growth. Cellnex is the independent wireless telecommunications and broadcasting infrastructures operator that enables operators to access Europe’s most extensive network of advanced telecommunications infrastructures on a shared-use basis, helping to reduce access barriers for new operators and to improve services in the most remote areas.</w:t>
      </w:r>
    </w:p>
    <w:p w14:paraId="45F1B6E2" w14:textId="77777777" w:rsidR="00533FDC" w:rsidRPr="0092258B" w:rsidRDefault="00533FDC" w:rsidP="0092258B">
      <w:pPr>
        <w:pStyle w:val="TreA"/>
        <w:spacing w:line="276" w:lineRule="auto"/>
        <w:jc w:val="both"/>
        <w:rPr>
          <w:rFonts w:asciiTheme="minorHAnsi" w:hAnsiTheme="minorHAnsi" w:cstheme="minorHAnsi"/>
          <w:lang w:val="en-US"/>
        </w:rPr>
      </w:pPr>
    </w:p>
    <w:p w14:paraId="3C364480" w14:textId="2A6B4736" w:rsidR="00533FDC"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Cellnex manages a portfolio of around 1</w:t>
      </w:r>
      <w:r w:rsidR="004170D2" w:rsidRPr="0092258B">
        <w:rPr>
          <w:rFonts w:asciiTheme="minorHAnsi" w:hAnsiTheme="minorHAnsi" w:cstheme="minorHAnsi"/>
          <w:lang w:val="en-US"/>
        </w:rPr>
        <w:t>28</w:t>
      </w:r>
      <w:r w:rsidRPr="0092258B">
        <w:rPr>
          <w:rFonts w:asciiTheme="minorHAnsi" w:hAnsiTheme="minorHAnsi" w:cstheme="minorHAnsi"/>
          <w:lang w:val="en-US"/>
        </w:rPr>
        <w:t>,000 sites – including forecast roll-outs up to 2030 –</w:t>
      </w:r>
      <w:r w:rsidR="004170D2" w:rsidRPr="0092258B">
        <w:rPr>
          <w:rFonts w:asciiTheme="minorHAnsi" w:hAnsiTheme="minorHAnsi" w:cstheme="minorHAnsi"/>
          <w:lang w:val="en-US"/>
        </w:rPr>
        <w:t xml:space="preserve"> and 9,700 DAS nodes &amp; Small Cells</w:t>
      </w:r>
      <w:r w:rsidRPr="0092258B">
        <w:rPr>
          <w:rFonts w:asciiTheme="minorHAnsi" w:hAnsiTheme="minorHAnsi" w:cstheme="minorHAnsi"/>
          <w:lang w:val="en-US"/>
        </w:rPr>
        <w:t xml:space="preserve"> in Spain,</w:t>
      </w:r>
      <w:r w:rsidR="004170D2" w:rsidRPr="0092258B">
        <w:rPr>
          <w:rFonts w:asciiTheme="minorHAnsi" w:hAnsiTheme="minorHAnsi" w:cstheme="minorHAnsi"/>
          <w:lang w:val="en-US"/>
        </w:rPr>
        <w:t xml:space="preserve"> France,</w:t>
      </w:r>
      <w:r w:rsidRPr="0092258B">
        <w:rPr>
          <w:rFonts w:asciiTheme="minorHAnsi" w:hAnsiTheme="minorHAnsi" w:cstheme="minorHAnsi"/>
          <w:lang w:val="en-US"/>
        </w:rPr>
        <w:t xml:space="preserve"> Italy,</w:t>
      </w:r>
      <w:r w:rsidR="004170D2" w:rsidRPr="0092258B">
        <w:rPr>
          <w:rFonts w:asciiTheme="minorHAnsi" w:hAnsiTheme="minorHAnsi" w:cstheme="minorHAnsi"/>
          <w:lang w:val="en-US"/>
        </w:rPr>
        <w:t xml:space="preserve"> the UK, Poland,</w:t>
      </w:r>
      <w:r w:rsidRPr="0092258B">
        <w:rPr>
          <w:rFonts w:asciiTheme="minorHAnsi" w:hAnsiTheme="minorHAnsi" w:cstheme="minorHAnsi"/>
          <w:lang w:val="en-US"/>
        </w:rPr>
        <w:t xml:space="preserve"> </w:t>
      </w:r>
      <w:r w:rsidR="004170D2" w:rsidRPr="0092258B">
        <w:rPr>
          <w:rFonts w:asciiTheme="minorHAnsi" w:hAnsiTheme="minorHAnsi" w:cstheme="minorHAnsi"/>
          <w:lang w:val="en-US"/>
        </w:rPr>
        <w:t xml:space="preserve">Portugal, </w:t>
      </w:r>
      <w:r w:rsidRPr="0092258B">
        <w:rPr>
          <w:rFonts w:asciiTheme="minorHAnsi" w:hAnsiTheme="minorHAnsi" w:cstheme="minorHAnsi"/>
          <w:lang w:val="en-US"/>
        </w:rPr>
        <w:t>the Netherlands, Switzerland, Denmark, Sweden</w:t>
      </w:r>
      <w:r w:rsidR="0092258B" w:rsidRPr="0092258B">
        <w:rPr>
          <w:rFonts w:asciiTheme="minorHAnsi" w:hAnsiTheme="minorHAnsi" w:cstheme="minorHAnsi"/>
          <w:lang w:val="en-US"/>
        </w:rPr>
        <w:t xml:space="preserve"> and </w:t>
      </w:r>
      <w:r w:rsidR="004170D2" w:rsidRPr="0092258B">
        <w:rPr>
          <w:rFonts w:asciiTheme="minorHAnsi" w:hAnsiTheme="minorHAnsi" w:cstheme="minorHAnsi"/>
          <w:lang w:val="en-US"/>
        </w:rPr>
        <w:t>Austria</w:t>
      </w:r>
      <w:r w:rsidR="0092258B" w:rsidRPr="0092258B">
        <w:rPr>
          <w:rFonts w:asciiTheme="minorHAnsi" w:hAnsiTheme="minorHAnsi" w:cstheme="minorHAnsi"/>
          <w:lang w:val="en-US"/>
        </w:rPr>
        <w:t>.</w:t>
      </w:r>
    </w:p>
    <w:p w14:paraId="148198D1" w14:textId="77777777" w:rsidR="00533FDC" w:rsidRPr="0092258B" w:rsidRDefault="00533FDC" w:rsidP="0092258B">
      <w:pPr>
        <w:pStyle w:val="TreA"/>
        <w:spacing w:line="276" w:lineRule="auto"/>
        <w:jc w:val="both"/>
        <w:rPr>
          <w:rFonts w:asciiTheme="minorHAnsi" w:hAnsiTheme="minorHAnsi" w:cstheme="minorHAnsi"/>
          <w:lang w:val="en-US"/>
        </w:rPr>
      </w:pPr>
    </w:p>
    <w:p w14:paraId="08EEAB69" w14:textId="77777777" w:rsidR="00533FDC"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In Poland, Cellnex began operations in 2021, after acquiring passive infrastructure (towers and masts) from mobile network operators P4 and </w:t>
      </w:r>
      <w:proofErr w:type="spellStart"/>
      <w:r w:rsidRPr="0092258B">
        <w:rPr>
          <w:rFonts w:asciiTheme="minorHAnsi" w:hAnsiTheme="minorHAnsi" w:cstheme="minorHAnsi"/>
          <w:lang w:val="en-US"/>
        </w:rPr>
        <w:t>Polkomtel</w:t>
      </w:r>
      <w:proofErr w:type="spellEnd"/>
      <w:r w:rsidRPr="0092258B">
        <w:rPr>
          <w:rFonts w:asciiTheme="minorHAnsi" w:hAnsiTheme="minorHAnsi" w:cstheme="minorHAnsi"/>
          <w:lang w:val="en-US"/>
        </w:rPr>
        <w:t xml:space="preserve">. Poland is also the first country where Cellnex has also invested in active infrastructure (antennas, transmitters), buying them back from </w:t>
      </w:r>
      <w:proofErr w:type="spellStart"/>
      <w:r w:rsidRPr="0092258B">
        <w:rPr>
          <w:rFonts w:asciiTheme="minorHAnsi" w:hAnsiTheme="minorHAnsi" w:cstheme="minorHAnsi"/>
          <w:lang w:val="en-US"/>
        </w:rPr>
        <w:t>Polkomtel</w:t>
      </w:r>
      <w:proofErr w:type="spellEnd"/>
      <w:r w:rsidRPr="0092258B">
        <w:rPr>
          <w:rFonts w:asciiTheme="minorHAnsi" w:hAnsiTheme="minorHAnsi" w:cstheme="minorHAnsi"/>
          <w:lang w:val="en-US"/>
        </w:rPr>
        <w:t xml:space="preserve">. Cellnex Poland currently provides telecommunications infrastructure management services to Play and </w:t>
      </w:r>
      <w:proofErr w:type="spellStart"/>
      <w:r w:rsidRPr="0092258B">
        <w:rPr>
          <w:rFonts w:asciiTheme="minorHAnsi" w:hAnsiTheme="minorHAnsi" w:cstheme="minorHAnsi"/>
          <w:lang w:val="en-US"/>
        </w:rPr>
        <w:t>Polkomtel</w:t>
      </w:r>
      <w:proofErr w:type="spellEnd"/>
      <w:r w:rsidRPr="0092258B">
        <w:rPr>
          <w:rFonts w:asciiTheme="minorHAnsi" w:hAnsiTheme="minorHAnsi" w:cstheme="minorHAnsi"/>
          <w:lang w:val="en-US"/>
        </w:rPr>
        <w:t>, as well as to other entities (road managers, services - including police and fire departments) in a Network as a Service model and in-building telecommunications infrastructure for commercial entities.</w:t>
      </w:r>
    </w:p>
    <w:p w14:paraId="4A0F5148" w14:textId="5BA3C019" w:rsidR="00EC31C5" w:rsidRPr="0092258B" w:rsidRDefault="00533FDC"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More information: </w:t>
      </w:r>
      <w:hyperlink r:id="rId13" w:history="1">
        <w:r w:rsidRPr="0092258B">
          <w:rPr>
            <w:rStyle w:val="Hipercze"/>
            <w:rFonts w:asciiTheme="minorHAnsi" w:hAnsiTheme="minorHAnsi" w:cstheme="minorHAnsi"/>
            <w:lang w:val="en-US"/>
          </w:rPr>
          <w:t>http://www.cellnex.pl</w:t>
        </w:r>
      </w:hyperlink>
      <w:r w:rsidRPr="0092258B">
        <w:rPr>
          <w:rFonts w:asciiTheme="minorHAnsi" w:hAnsiTheme="minorHAnsi" w:cstheme="minorHAnsi"/>
          <w:lang w:val="en-US"/>
        </w:rPr>
        <w:t xml:space="preserve"> </w:t>
      </w:r>
    </w:p>
    <w:p w14:paraId="340D63C9" w14:textId="00B9F4A8" w:rsidR="00F706BE" w:rsidRPr="0092258B" w:rsidRDefault="00F706BE" w:rsidP="0092258B">
      <w:pPr>
        <w:pStyle w:val="TreA"/>
        <w:spacing w:line="276" w:lineRule="auto"/>
        <w:jc w:val="both"/>
        <w:rPr>
          <w:rFonts w:asciiTheme="minorHAnsi" w:hAnsiTheme="minorHAnsi" w:cstheme="minorHAnsi"/>
          <w:lang w:val="en-US"/>
        </w:rPr>
      </w:pPr>
    </w:p>
    <w:p w14:paraId="1209CD5D" w14:textId="77777777" w:rsidR="003A1757" w:rsidRPr="0092258B" w:rsidRDefault="003A1757" w:rsidP="0092258B">
      <w:pPr>
        <w:pStyle w:val="TreA"/>
        <w:spacing w:line="276" w:lineRule="auto"/>
        <w:jc w:val="both"/>
        <w:rPr>
          <w:rFonts w:asciiTheme="minorHAnsi" w:eastAsia="Times New Roman" w:hAnsiTheme="minorHAnsi" w:cstheme="minorHAnsi"/>
          <w:b/>
          <w:bCs/>
          <w:color w:val="auto"/>
          <w:bdr w:val="none" w:sz="0" w:space="0" w:color="auto"/>
          <w:lang w:val="en-US" w:eastAsia="es-ES"/>
          <w14:textOutline w14:w="0" w14:cap="rnd" w14:cmpd="sng" w14:algn="ctr">
            <w14:noFill/>
            <w14:prstDash w14:val="solid"/>
            <w14:bevel/>
          </w14:textOutline>
        </w:rPr>
      </w:pPr>
      <w:r w:rsidRPr="0092258B">
        <w:rPr>
          <w:rFonts w:asciiTheme="minorHAnsi" w:eastAsia="Times New Roman" w:hAnsiTheme="minorHAnsi" w:cstheme="minorHAnsi"/>
          <w:b/>
          <w:bCs/>
          <w:color w:val="auto"/>
          <w:bdr w:val="none" w:sz="0" w:space="0" w:color="auto"/>
          <w:lang w:val="en-US" w:eastAsia="es-ES"/>
          <w14:textOutline w14:w="0" w14:cap="rnd" w14:cmpd="sng" w14:algn="ctr">
            <w14:noFill/>
            <w14:prstDash w14:val="solid"/>
            <w14:bevel/>
          </w14:textOutline>
        </w:rPr>
        <w:t xml:space="preserve">About CETIN </w:t>
      </w:r>
      <w:proofErr w:type="spellStart"/>
      <w:r w:rsidRPr="0092258B">
        <w:rPr>
          <w:rFonts w:asciiTheme="minorHAnsi" w:eastAsia="Times New Roman" w:hAnsiTheme="minorHAnsi" w:cstheme="minorHAnsi"/>
          <w:b/>
          <w:bCs/>
          <w:color w:val="auto"/>
          <w:bdr w:val="none" w:sz="0" w:space="0" w:color="auto"/>
          <w:lang w:val="en-US" w:eastAsia="es-ES"/>
          <w14:textOutline w14:w="0" w14:cap="rnd" w14:cmpd="sng" w14:algn="ctr">
            <w14:noFill/>
            <w14:prstDash w14:val="solid"/>
            <w14:bevel/>
          </w14:textOutline>
        </w:rPr>
        <w:t>a.s.</w:t>
      </w:r>
      <w:proofErr w:type="spellEnd"/>
    </w:p>
    <w:p w14:paraId="1D18336B" w14:textId="77777777" w:rsidR="003A1757" w:rsidRPr="0092258B" w:rsidRDefault="003A1757" w:rsidP="0092258B">
      <w:pPr>
        <w:pStyle w:val="TreA"/>
        <w:spacing w:line="276" w:lineRule="auto"/>
        <w:jc w:val="both"/>
        <w:rPr>
          <w:rFonts w:asciiTheme="minorHAnsi" w:hAnsiTheme="minorHAnsi" w:cstheme="minorHAnsi"/>
          <w:lang w:val="en-US"/>
        </w:rPr>
      </w:pPr>
      <w:r w:rsidRPr="0092258B">
        <w:rPr>
          <w:rFonts w:asciiTheme="minorHAnsi" w:hAnsiTheme="minorHAnsi" w:cstheme="minorHAnsi"/>
          <w:lang w:val="en-US"/>
        </w:rPr>
        <w:t xml:space="preserve">CETIN owns, operates and </w:t>
      </w:r>
      <w:proofErr w:type="spellStart"/>
      <w:r w:rsidRPr="0092258B">
        <w:rPr>
          <w:rFonts w:asciiTheme="minorHAnsi" w:hAnsiTheme="minorHAnsi" w:cstheme="minorHAnsi"/>
          <w:lang w:val="en-US"/>
        </w:rPr>
        <w:t>modernises</w:t>
      </w:r>
      <w:proofErr w:type="spellEnd"/>
      <w:r w:rsidRPr="0092258B">
        <w:rPr>
          <w:rFonts w:asciiTheme="minorHAnsi" w:hAnsiTheme="minorHAnsi" w:cstheme="minorHAnsi"/>
          <w:lang w:val="en-US"/>
        </w:rPr>
        <w:t xml:space="preserve"> the largest electronic communications network covering 99.6% of Czech population. We provide infrastructure services for fixed and mobile networks, data services for corporate networks and data </w:t>
      </w:r>
      <w:proofErr w:type="spellStart"/>
      <w:r w:rsidRPr="0092258B">
        <w:rPr>
          <w:rFonts w:asciiTheme="minorHAnsi" w:hAnsiTheme="minorHAnsi" w:cstheme="minorHAnsi"/>
          <w:lang w:val="en-US"/>
        </w:rPr>
        <w:t>centre</w:t>
      </w:r>
      <w:proofErr w:type="spellEnd"/>
      <w:r w:rsidRPr="0092258B">
        <w:rPr>
          <w:rFonts w:asciiTheme="minorHAnsi" w:hAnsiTheme="minorHAnsi" w:cstheme="minorHAnsi"/>
          <w:lang w:val="en-US"/>
        </w:rPr>
        <w:t xml:space="preserve"> rentals, and provide international voice services for both domestic and foreign providers. We are an independent wholesale player with no ties to any particular provider, our philosophy is the principle of open network access on fair terms for all operators.  CETIN </w:t>
      </w:r>
      <w:proofErr w:type="spellStart"/>
      <w:r w:rsidRPr="0092258B">
        <w:rPr>
          <w:rFonts w:asciiTheme="minorHAnsi" w:hAnsiTheme="minorHAnsi" w:cstheme="minorHAnsi"/>
          <w:lang w:val="en-US"/>
        </w:rPr>
        <w:t>a.s.</w:t>
      </w:r>
      <w:proofErr w:type="spellEnd"/>
      <w:r w:rsidRPr="0092258B">
        <w:rPr>
          <w:rFonts w:asciiTheme="minorHAnsi" w:hAnsiTheme="minorHAnsi" w:cstheme="minorHAnsi"/>
          <w:lang w:val="en-US"/>
        </w:rPr>
        <w:t xml:space="preserve"> is a member of CETIN Group.</w:t>
      </w:r>
    </w:p>
    <w:p w14:paraId="4479400D" w14:textId="67CC1F96" w:rsidR="003A1757" w:rsidRPr="0092258B" w:rsidRDefault="00000000" w:rsidP="0092258B">
      <w:pPr>
        <w:pStyle w:val="TreA"/>
        <w:spacing w:line="276" w:lineRule="auto"/>
        <w:jc w:val="both"/>
        <w:rPr>
          <w:rFonts w:asciiTheme="minorHAnsi" w:hAnsiTheme="minorHAnsi" w:cstheme="minorHAnsi"/>
          <w:lang w:val="en-US"/>
        </w:rPr>
      </w:pPr>
      <w:hyperlink r:id="rId14" w:history="1">
        <w:r w:rsidR="003A1757" w:rsidRPr="0092258B">
          <w:rPr>
            <w:rFonts w:asciiTheme="minorHAnsi" w:hAnsiTheme="minorHAnsi" w:cstheme="minorHAnsi"/>
            <w:lang w:val="en-US"/>
          </w:rPr>
          <w:t>www.cetin.cz</w:t>
        </w:r>
      </w:hyperlink>
    </w:p>
    <w:p w14:paraId="7A9B04B1" w14:textId="53C0C13E" w:rsidR="003A1757" w:rsidRPr="0092258B" w:rsidRDefault="00000000" w:rsidP="0092258B">
      <w:pPr>
        <w:pStyle w:val="TreA"/>
        <w:spacing w:line="276" w:lineRule="auto"/>
        <w:jc w:val="both"/>
        <w:rPr>
          <w:rFonts w:asciiTheme="minorHAnsi" w:hAnsiTheme="minorHAnsi" w:cstheme="minorHAnsi"/>
          <w:lang w:val="en-US"/>
        </w:rPr>
      </w:pPr>
      <w:hyperlink r:id="rId15" w:history="1">
        <w:r w:rsidR="003A1757" w:rsidRPr="0092258B">
          <w:rPr>
            <w:rFonts w:asciiTheme="minorHAnsi" w:hAnsiTheme="minorHAnsi" w:cstheme="minorHAnsi"/>
            <w:lang w:val="en-US"/>
          </w:rPr>
          <w:t>www.twitter.com/CETINCZ</w:t>
        </w:r>
      </w:hyperlink>
    </w:p>
    <w:p w14:paraId="280FEF91" w14:textId="51E3B030" w:rsidR="003A1757" w:rsidRPr="0092258B" w:rsidRDefault="00000000" w:rsidP="0092258B">
      <w:pPr>
        <w:pStyle w:val="TreA"/>
        <w:spacing w:line="276" w:lineRule="auto"/>
        <w:jc w:val="both"/>
        <w:rPr>
          <w:rFonts w:asciiTheme="minorHAnsi" w:hAnsiTheme="minorHAnsi" w:cstheme="minorHAnsi"/>
          <w:lang w:val="en-US"/>
        </w:rPr>
      </w:pPr>
      <w:hyperlink r:id="rId16" w:history="1">
        <w:r w:rsidR="003A1757" w:rsidRPr="0092258B">
          <w:rPr>
            <w:rFonts w:asciiTheme="minorHAnsi" w:hAnsiTheme="minorHAnsi" w:cstheme="minorHAnsi"/>
            <w:lang w:val="en-US"/>
          </w:rPr>
          <w:t>www.facebook.com/cetin.cz/</w:t>
        </w:r>
      </w:hyperlink>
    </w:p>
    <w:p w14:paraId="06664B7F" w14:textId="37D50C6D" w:rsidR="003A1757" w:rsidRPr="0092258B" w:rsidRDefault="00000000" w:rsidP="0092258B">
      <w:pPr>
        <w:pStyle w:val="TreA"/>
        <w:spacing w:line="276" w:lineRule="auto"/>
        <w:jc w:val="both"/>
        <w:rPr>
          <w:rFonts w:asciiTheme="minorHAnsi" w:hAnsiTheme="minorHAnsi" w:cstheme="minorHAnsi"/>
          <w:color w:val="2B579A"/>
          <w:shd w:val="clear" w:color="auto" w:fill="E6E6E6"/>
          <w:lang w:val="en-US"/>
        </w:rPr>
      </w:pPr>
      <w:hyperlink r:id="rId17" w:history="1">
        <w:r w:rsidR="003A1757" w:rsidRPr="0092258B">
          <w:rPr>
            <w:rFonts w:asciiTheme="minorHAnsi" w:hAnsiTheme="minorHAnsi" w:cstheme="minorHAnsi"/>
            <w:lang w:val="en-US"/>
          </w:rPr>
          <w:t>www.linkedin.com/company/cetin</w:t>
        </w:r>
      </w:hyperlink>
    </w:p>
    <w:p w14:paraId="1D6AF4FF" w14:textId="77777777" w:rsidR="003A1757" w:rsidRPr="0092258B" w:rsidRDefault="003A1757" w:rsidP="0092258B">
      <w:pPr>
        <w:pStyle w:val="TreA"/>
        <w:spacing w:line="276" w:lineRule="auto"/>
        <w:jc w:val="both"/>
        <w:rPr>
          <w:rFonts w:asciiTheme="minorHAnsi" w:hAnsiTheme="minorHAnsi" w:cstheme="minorHAnsi"/>
          <w:color w:val="2B579A"/>
          <w:shd w:val="clear" w:color="auto" w:fill="E6E6E6"/>
          <w:lang w:val="en-US"/>
        </w:rPr>
      </w:pPr>
    </w:p>
    <w:p w14:paraId="2B459468" w14:textId="77777777" w:rsidR="003A1757" w:rsidRPr="0092258B" w:rsidRDefault="003A1757" w:rsidP="0092258B">
      <w:pPr>
        <w:spacing w:line="276" w:lineRule="auto"/>
        <w:rPr>
          <w:rFonts w:asciiTheme="minorHAnsi" w:hAnsiTheme="minorHAnsi" w:cstheme="minorHAnsi"/>
          <w:b/>
          <w:bCs/>
          <w:sz w:val="22"/>
          <w:szCs w:val="22"/>
          <w:lang w:val="en-US"/>
        </w:rPr>
      </w:pPr>
      <w:r w:rsidRPr="0092258B">
        <w:rPr>
          <w:rFonts w:asciiTheme="minorHAnsi" w:hAnsiTheme="minorHAnsi" w:cstheme="minorHAnsi"/>
          <w:b/>
          <w:bCs/>
          <w:sz w:val="22"/>
          <w:szCs w:val="22"/>
          <w:lang w:val="en-US"/>
        </w:rPr>
        <w:t>About CETIN Group</w:t>
      </w:r>
    </w:p>
    <w:p w14:paraId="275B3558" w14:textId="77777777" w:rsidR="003A1757" w:rsidRPr="0092258B" w:rsidRDefault="003A1757" w:rsidP="0092258B">
      <w:pPr>
        <w:spacing w:line="276" w:lineRule="auto"/>
        <w:rPr>
          <w:rFonts w:asciiTheme="minorHAnsi" w:hAnsiTheme="minorHAnsi" w:cstheme="minorHAnsi"/>
          <w:sz w:val="22"/>
          <w:szCs w:val="22"/>
          <w:lang w:val="en-US" w:eastAsia="cs-CZ"/>
        </w:rPr>
      </w:pPr>
      <w:r w:rsidRPr="0092258B">
        <w:rPr>
          <w:rFonts w:asciiTheme="minorHAnsi" w:hAnsiTheme="minorHAnsi" w:cstheme="minorHAnsi"/>
          <w:sz w:val="22"/>
          <w:szCs w:val="22"/>
          <w:lang w:val="en-US" w:eastAsia="cs-CZ"/>
        </w:rPr>
        <w:t>CETIN Group is a leading wholesale provider of active and passive telecommunications infrastructure services in the Central and Eastern Europe. We provide complex connectivity solutions for all use-cases, operating in four countries: Czechia, Hungary, Bulgaria, and Serbia.</w:t>
      </w:r>
    </w:p>
    <w:p w14:paraId="711A4975" w14:textId="77777777" w:rsidR="003A1757" w:rsidRPr="0092258B" w:rsidRDefault="00000000" w:rsidP="0092258B">
      <w:pPr>
        <w:spacing w:line="276" w:lineRule="auto"/>
        <w:rPr>
          <w:rFonts w:asciiTheme="minorHAnsi" w:hAnsiTheme="minorHAnsi" w:cstheme="minorHAnsi"/>
          <w:sz w:val="22"/>
          <w:szCs w:val="22"/>
          <w:lang w:val="en-US" w:eastAsia="cs-CZ"/>
        </w:rPr>
      </w:pPr>
      <w:hyperlink r:id="rId18" w:history="1">
        <w:r w:rsidR="003A1757" w:rsidRPr="0092258B">
          <w:rPr>
            <w:rStyle w:val="Hipercze"/>
            <w:rFonts w:asciiTheme="minorHAnsi" w:hAnsiTheme="minorHAnsi" w:cstheme="minorHAnsi"/>
            <w:sz w:val="22"/>
            <w:szCs w:val="22"/>
            <w:lang w:val="en-US" w:eastAsia="cs-CZ"/>
          </w:rPr>
          <w:t>www.cetin.eu</w:t>
        </w:r>
      </w:hyperlink>
    </w:p>
    <w:p w14:paraId="78EB9450" w14:textId="68943622" w:rsidR="00F706BE" w:rsidRDefault="00F706BE" w:rsidP="003A1757">
      <w:pPr>
        <w:pStyle w:val="TreA"/>
        <w:spacing w:line="288" w:lineRule="auto"/>
        <w:jc w:val="both"/>
        <w:rPr>
          <w:rFonts w:asciiTheme="minorHAnsi" w:hAnsiTheme="minorHAnsi" w:cstheme="minorHAnsi"/>
          <w:lang w:val="en-US"/>
        </w:rPr>
      </w:pPr>
    </w:p>
    <w:tbl>
      <w:tblPr>
        <w:tblStyle w:val="TableNormal11"/>
        <w:tblpPr w:leftFromText="141" w:rightFromText="141" w:vertAnchor="page" w:horzAnchor="margin" w:tblpY="13186"/>
        <w:tblW w:w="9327"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32"/>
        <w:gridCol w:w="1610"/>
        <w:gridCol w:w="2685"/>
      </w:tblGrid>
      <w:tr w:rsidR="0092258B" w:rsidRPr="00E36371" w14:paraId="2920599B" w14:textId="77777777" w:rsidTr="00293DDA">
        <w:trPr>
          <w:trHeight w:val="454"/>
        </w:trPr>
        <w:tc>
          <w:tcPr>
            <w:tcW w:w="5032" w:type="dxa"/>
            <w:tcBorders>
              <w:top w:val="single" w:sz="8" w:space="0" w:color="549A0C"/>
              <w:left w:val="nil"/>
              <w:bottom w:val="nil"/>
              <w:right w:val="nil"/>
            </w:tcBorders>
            <w:shd w:val="clear" w:color="auto" w:fill="auto"/>
            <w:tcMar>
              <w:top w:w="80" w:type="dxa"/>
              <w:left w:w="80" w:type="dxa"/>
              <w:bottom w:w="80" w:type="dxa"/>
              <w:right w:w="80" w:type="dxa"/>
            </w:tcMar>
            <w:vAlign w:val="center"/>
            <w:hideMark/>
          </w:tcPr>
          <w:p w14:paraId="1D324391" w14:textId="48FC11AF" w:rsidR="0092258B" w:rsidRPr="000109DB" w:rsidRDefault="000109DB" w:rsidP="00293DDA">
            <w:pPr>
              <w:shd w:val="clear" w:color="auto" w:fill="FFFFFF"/>
              <w:rPr>
                <w:rFonts w:eastAsia="Times New Roman" w:cs="Calibri"/>
                <w:lang w:val="sv-SE"/>
              </w:rPr>
            </w:pPr>
            <w:bookmarkStart w:id="0" w:name="_Hlk160536613"/>
            <w:r w:rsidRPr="000109DB">
              <w:rPr>
                <w:rFonts w:eastAsia="Times New Roman" w:cs="Calibri"/>
                <w:b/>
                <w:bCs/>
                <w:sz w:val="17"/>
                <w:szCs w:val="17"/>
                <w:lang w:val="sv-SE"/>
              </w:rPr>
              <w:t>Katarzyna Cyrbus</w:t>
            </w:r>
          </w:p>
          <w:p w14:paraId="7F38198C" w14:textId="77777777" w:rsidR="0092258B" w:rsidRDefault="000109DB" w:rsidP="00293DDA">
            <w:pPr>
              <w:pBdr>
                <w:top w:val="nil"/>
                <w:left w:val="nil"/>
                <w:bottom w:val="nil"/>
                <w:right w:val="nil"/>
                <w:between w:val="nil"/>
                <w:bar w:val="nil"/>
              </w:pBdr>
              <w:suppressAutoHyphens/>
              <w:rPr>
                <w:rFonts w:eastAsia="Calibri" w:cs="Calibri"/>
                <w:color w:val="003652"/>
                <w:sz w:val="16"/>
                <w:szCs w:val="16"/>
                <w:u w:color="334350"/>
                <w:bdr w:val="none" w:sz="0" w:space="0" w:color="auto" w:frame="1"/>
                <w:lang w:val="sv-SE"/>
              </w:rPr>
            </w:pPr>
            <w:proofErr w:type="spellStart"/>
            <w:r w:rsidRPr="000109DB">
              <w:rPr>
                <w:rFonts w:eastAsia="Calibri" w:cs="Calibri"/>
                <w:color w:val="003652"/>
                <w:sz w:val="16"/>
                <w:szCs w:val="16"/>
                <w:u w:color="334350"/>
                <w:bdr w:val="none" w:sz="0" w:space="0" w:color="auto" w:frame="1"/>
                <w:lang w:val="sv-SE"/>
              </w:rPr>
              <w:t>External</w:t>
            </w:r>
            <w:proofErr w:type="spellEnd"/>
            <w:r w:rsidRPr="000109DB">
              <w:rPr>
                <w:rFonts w:eastAsia="Calibri" w:cs="Calibri"/>
                <w:color w:val="003652"/>
                <w:sz w:val="16"/>
                <w:szCs w:val="16"/>
                <w:u w:color="334350"/>
                <w:bdr w:val="none" w:sz="0" w:space="0" w:color="auto" w:frame="1"/>
                <w:lang w:val="sv-SE"/>
              </w:rPr>
              <w:t xml:space="preserve"> Relations Man</w:t>
            </w:r>
            <w:r>
              <w:rPr>
                <w:rFonts w:eastAsia="Calibri" w:cs="Calibri"/>
                <w:color w:val="003652"/>
                <w:sz w:val="16"/>
                <w:szCs w:val="16"/>
                <w:u w:color="334350"/>
                <w:bdr w:val="none" w:sz="0" w:space="0" w:color="auto" w:frame="1"/>
                <w:lang w:val="sv-SE"/>
              </w:rPr>
              <w:t>ager</w:t>
            </w:r>
          </w:p>
          <w:p w14:paraId="2C56E153" w14:textId="42B679E7" w:rsidR="000109DB" w:rsidRPr="000109DB" w:rsidRDefault="000109DB" w:rsidP="00293DDA">
            <w:pPr>
              <w:pBdr>
                <w:top w:val="nil"/>
                <w:left w:val="nil"/>
                <w:bottom w:val="nil"/>
                <w:right w:val="nil"/>
                <w:between w:val="nil"/>
                <w:bar w:val="nil"/>
              </w:pBdr>
              <w:suppressAutoHyphens/>
              <w:rPr>
                <w:rFonts w:eastAsia="Calibri" w:cs="Calibri"/>
                <w:color w:val="003652"/>
                <w:sz w:val="16"/>
                <w:szCs w:val="16"/>
                <w:u w:color="334350"/>
                <w:bdr w:val="none" w:sz="0" w:space="0" w:color="auto" w:frame="1"/>
                <w:lang w:val="sv-SE"/>
              </w:rPr>
            </w:pPr>
            <w:r>
              <w:rPr>
                <w:rFonts w:eastAsia="Calibri" w:cs="Calibri"/>
                <w:color w:val="003652"/>
                <w:sz w:val="16"/>
                <w:szCs w:val="16"/>
                <w:u w:color="334350"/>
                <w:bdr w:val="none" w:sz="0" w:space="0" w:color="auto" w:frame="1"/>
                <w:lang w:val="sv-SE"/>
              </w:rPr>
              <w:t>Cellnex Poland</w:t>
            </w:r>
          </w:p>
        </w:tc>
        <w:tc>
          <w:tcPr>
            <w:tcW w:w="1610" w:type="dxa"/>
            <w:tcBorders>
              <w:top w:val="single" w:sz="8" w:space="0" w:color="549A0C"/>
              <w:left w:val="nil"/>
              <w:bottom w:val="nil"/>
              <w:right w:val="nil"/>
            </w:tcBorders>
            <w:shd w:val="clear" w:color="auto" w:fill="auto"/>
            <w:tcMar>
              <w:top w:w="80" w:type="dxa"/>
              <w:left w:w="80" w:type="dxa"/>
              <w:bottom w:w="80" w:type="dxa"/>
              <w:right w:w="80" w:type="dxa"/>
            </w:tcMar>
            <w:vAlign w:val="center"/>
            <w:hideMark/>
          </w:tcPr>
          <w:p w14:paraId="1C0F0A37" w14:textId="77777777" w:rsidR="0092258B" w:rsidRPr="000109DB" w:rsidRDefault="0092258B" w:rsidP="00293DDA">
            <w:pPr>
              <w:keepNext/>
              <w:keepLines/>
              <w:suppressAutoHyphens/>
              <w:spacing w:line="500" w:lineRule="exact"/>
              <w:outlineLvl w:val="8"/>
              <w:rPr>
                <w:rFonts w:ascii="Verdana" w:eastAsia="MS Gothic" w:hAnsi="Verdana"/>
                <w:color w:val="5A6E74"/>
                <w:sz w:val="14"/>
                <w:szCs w:val="14"/>
                <w:bdr w:val="none" w:sz="0" w:space="0" w:color="auto" w:frame="1"/>
                <w:lang w:val="sv-SE"/>
              </w:rPr>
            </w:pPr>
          </w:p>
        </w:tc>
        <w:tc>
          <w:tcPr>
            <w:tcW w:w="2685" w:type="dxa"/>
            <w:tcBorders>
              <w:top w:val="single" w:sz="8" w:space="0" w:color="549A0C"/>
              <w:left w:val="nil"/>
              <w:bottom w:val="nil"/>
              <w:right w:val="nil"/>
            </w:tcBorders>
            <w:shd w:val="clear" w:color="auto" w:fill="auto"/>
            <w:tcMar>
              <w:top w:w="80" w:type="dxa"/>
              <w:left w:w="80" w:type="dxa"/>
              <w:bottom w:w="80" w:type="dxa"/>
              <w:right w:w="80" w:type="dxa"/>
            </w:tcMar>
            <w:vAlign w:val="center"/>
          </w:tcPr>
          <w:p w14:paraId="0807AA63" w14:textId="250D5403" w:rsidR="0092258B" w:rsidRPr="000109DB" w:rsidRDefault="0092258B" w:rsidP="00293DDA">
            <w:pPr>
              <w:keepNext/>
              <w:keepLines/>
              <w:suppressAutoHyphens/>
              <w:spacing w:line="200" w:lineRule="exact"/>
              <w:outlineLvl w:val="8"/>
              <w:rPr>
                <w:rFonts w:ascii="Verdana" w:eastAsia="MS Gothic" w:hAnsi="Verdana"/>
                <w:color w:val="5A6E74"/>
                <w:sz w:val="14"/>
                <w:szCs w:val="14"/>
                <w:bdr w:val="none" w:sz="0" w:space="0" w:color="auto" w:frame="1"/>
                <w:lang w:val="sv-SE"/>
              </w:rPr>
            </w:pPr>
            <w:r w:rsidRPr="00E36371">
              <w:rPr>
                <w:rFonts w:eastAsia="Times New Roman" w:cs="Calibri"/>
                <w:noProof/>
                <w:color w:val="51626F"/>
                <w:lang w:val="es-ES"/>
              </w:rPr>
              <w:drawing>
                <wp:anchor distT="0" distB="0" distL="114300" distR="114300" simplePos="0" relativeHeight="251660288" behindDoc="0" locked="0" layoutInCell="1" allowOverlap="1" wp14:anchorId="0B43D9E8" wp14:editId="020494EE">
                  <wp:simplePos x="0" y="0"/>
                  <wp:positionH relativeFrom="column">
                    <wp:posOffset>993140</wp:posOffset>
                  </wp:positionH>
                  <wp:positionV relativeFrom="paragraph">
                    <wp:posOffset>63500</wp:posOffset>
                  </wp:positionV>
                  <wp:extent cx="266700" cy="266700"/>
                  <wp:effectExtent l="0" t="0" r="0" b="0"/>
                  <wp:wrapSquare wrapText="bothSides"/>
                  <wp:docPr id="14" name="Imagen 14"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inkedin">
                            <a:hlinkClick r:id="rId19" tgtFrame="_blank"/>
                          </pic:cNvPr>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371">
              <w:rPr>
                <w:rFonts w:eastAsia="Times New Roman" w:cs="Calibri"/>
                <w:noProof/>
                <w:color w:val="51626F"/>
                <w:lang w:val="es-ES"/>
              </w:rPr>
              <w:drawing>
                <wp:anchor distT="0" distB="0" distL="114300" distR="114300" simplePos="0" relativeHeight="251661312" behindDoc="0" locked="0" layoutInCell="1" allowOverlap="1" wp14:anchorId="5C89CBC9" wp14:editId="0E1BF277">
                  <wp:simplePos x="0" y="0"/>
                  <wp:positionH relativeFrom="column">
                    <wp:posOffset>650240</wp:posOffset>
                  </wp:positionH>
                  <wp:positionV relativeFrom="paragraph">
                    <wp:posOffset>63500</wp:posOffset>
                  </wp:positionV>
                  <wp:extent cx="266700" cy="266700"/>
                  <wp:effectExtent l="0" t="0" r="0" b="0"/>
                  <wp:wrapSquare wrapText="bothSides"/>
                  <wp:docPr id="16" name="Imagen 16" descr="YouTub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YouTube">
                            <a:hlinkClick r:id="rId21" tgtFrame="_blank"/>
                          </pic:cNvPr>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2258B" w:rsidRPr="005713D1" w14:paraId="70E03647" w14:textId="77777777" w:rsidTr="00293DDA">
        <w:trPr>
          <w:trHeight w:val="436"/>
        </w:trPr>
        <w:tc>
          <w:tcPr>
            <w:tcW w:w="5032" w:type="dxa"/>
            <w:vMerge w:val="restart"/>
            <w:tcBorders>
              <w:top w:val="nil"/>
              <w:left w:val="nil"/>
              <w:bottom w:val="nil"/>
              <w:right w:val="nil"/>
            </w:tcBorders>
            <w:shd w:val="clear" w:color="auto" w:fill="auto"/>
            <w:tcMar>
              <w:top w:w="80" w:type="dxa"/>
              <w:left w:w="80" w:type="dxa"/>
              <w:bottom w:w="80" w:type="dxa"/>
              <w:right w:w="80" w:type="dxa"/>
            </w:tcMar>
          </w:tcPr>
          <w:p w14:paraId="591A4747" w14:textId="70559627" w:rsidR="0092258B" w:rsidRPr="000109DB" w:rsidRDefault="000109DB" w:rsidP="00293DDA">
            <w:pPr>
              <w:keepNext/>
              <w:keepLines/>
              <w:suppressAutoHyphens/>
              <w:spacing w:line="200" w:lineRule="exact"/>
              <w:outlineLvl w:val="8"/>
              <w:rPr>
                <w:rFonts w:asciiTheme="minorHAnsi" w:hAnsiTheme="minorHAnsi" w:cstheme="minorHAnsi"/>
                <w:b/>
                <w:bCs/>
                <w:color w:val="64A70B"/>
                <w:sz w:val="22"/>
                <w:szCs w:val="22"/>
                <w:lang w:val="pt-PT"/>
              </w:rPr>
            </w:pPr>
            <w:hyperlink r:id="rId23" w:history="1">
              <w:r w:rsidRPr="000109DB">
                <w:rPr>
                  <w:rStyle w:val="Hipercze"/>
                  <w:rFonts w:asciiTheme="minorHAnsi" w:hAnsiTheme="minorHAnsi" w:cstheme="minorHAnsi"/>
                  <w:sz w:val="22"/>
                  <w:szCs w:val="22"/>
                </w:rPr>
                <w:t>komunikacja@cellnextelecom.pl</w:t>
              </w:r>
            </w:hyperlink>
            <w:r w:rsidRPr="000109DB">
              <w:rPr>
                <w:rFonts w:asciiTheme="minorHAnsi" w:hAnsiTheme="minorHAnsi" w:cstheme="minorHAnsi"/>
                <w:sz w:val="22"/>
                <w:szCs w:val="22"/>
              </w:rPr>
              <w:t xml:space="preserve"> </w:t>
            </w:r>
            <w:r w:rsidR="0092258B" w:rsidRPr="000109DB">
              <w:rPr>
                <w:rFonts w:asciiTheme="minorHAnsi" w:hAnsiTheme="minorHAnsi" w:cstheme="minorHAnsi"/>
                <w:b/>
                <w:bCs/>
                <w:color w:val="64A70B"/>
                <w:sz w:val="22"/>
                <w:szCs w:val="22"/>
                <w:lang w:val="pt-PT"/>
              </w:rPr>
              <w:t xml:space="preserve"> </w:t>
            </w:r>
          </w:p>
          <w:p w14:paraId="12F62DF0" w14:textId="508D4BC1" w:rsidR="0092258B" w:rsidRPr="000109DB" w:rsidRDefault="0092258B" w:rsidP="00293DDA">
            <w:pPr>
              <w:keepNext/>
              <w:keepLines/>
              <w:suppressAutoHyphens/>
              <w:spacing w:line="200" w:lineRule="exact"/>
              <w:outlineLvl w:val="8"/>
              <w:rPr>
                <w:rFonts w:asciiTheme="minorHAnsi" w:eastAsia="Calibri" w:hAnsiTheme="minorHAnsi" w:cstheme="minorHAnsi"/>
                <w:sz w:val="18"/>
                <w:szCs w:val="18"/>
                <w:lang w:val="pt-PT"/>
              </w:rPr>
            </w:pPr>
          </w:p>
        </w:tc>
        <w:tc>
          <w:tcPr>
            <w:tcW w:w="1610" w:type="dxa"/>
            <w:tcBorders>
              <w:top w:val="nil"/>
              <w:left w:val="nil"/>
              <w:bottom w:val="nil"/>
              <w:right w:val="nil"/>
            </w:tcBorders>
            <w:shd w:val="clear" w:color="auto" w:fill="auto"/>
            <w:tcMar>
              <w:top w:w="80" w:type="dxa"/>
              <w:left w:w="80" w:type="dxa"/>
              <w:bottom w:w="80" w:type="dxa"/>
              <w:right w:w="80" w:type="dxa"/>
            </w:tcMar>
            <w:vAlign w:val="center"/>
            <w:hideMark/>
          </w:tcPr>
          <w:p w14:paraId="094D137A" w14:textId="77777777" w:rsidR="0092258B" w:rsidRPr="00E36371" w:rsidRDefault="0092258B" w:rsidP="00293DDA">
            <w:pPr>
              <w:keepNext/>
              <w:keepLines/>
              <w:suppressAutoHyphens/>
              <w:spacing w:line="500" w:lineRule="exact"/>
              <w:outlineLvl w:val="8"/>
              <w:rPr>
                <w:rFonts w:ascii="Verdana" w:eastAsia="MS Gothic" w:hAnsi="Verdana"/>
                <w:color w:val="5A6E74"/>
                <w:sz w:val="14"/>
                <w:szCs w:val="14"/>
                <w:bdr w:val="none" w:sz="0" w:space="0" w:color="auto" w:frame="1"/>
                <w:lang w:val="pt-PT"/>
              </w:rPr>
            </w:pPr>
          </w:p>
        </w:tc>
        <w:tc>
          <w:tcPr>
            <w:tcW w:w="2685" w:type="dxa"/>
            <w:tcBorders>
              <w:top w:val="nil"/>
              <w:left w:val="nil"/>
              <w:bottom w:val="nil"/>
              <w:right w:val="nil"/>
            </w:tcBorders>
            <w:shd w:val="clear" w:color="auto" w:fill="auto"/>
            <w:tcMar>
              <w:top w:w="80" w:type="dxa"/>
              <w:left w:w="80" w:type="dxa"/>
              <w:bottom w:w="80" w:type="dxa"/>
              <w:right w:w="80" w:type="dxa"/>
            </w:tcMar>
            <w:vAlign w:val="center"/>
          </w:tcPr>
          <w:p w14:paraId="6CF0E724" w14:textId="77777777" w:rsidR="0092258B" w:rsidRPr="00E36371" w:rsidRDefault="0092258B" w:rsidP="00293DDA">
            <w:pPr>
              <w:keepNext/>
              <w:keepLines/>
              <w:suppressAutoHyphens/>
              <w:spacing w:line="200" w:lineRule="exact"/>
              <w:outlineLvl w:val="8"/>
              <w:rPr>
                <w:rFonts w:ascii="Verdana" w:eastAsia="MS Gothic" w:hAnsi="Verdana"/>
                <w:color w:val="5A6E74"/>
                <w:sz w:val="14"/>
                <w:szCs w:val="14"/>
                <w:bdr w:val="none" w:sz="0" w:space="0" w:color="auto" w:frame="1"/>
                <w:lang w:val="pt-PT"/>
              </w:rPr>
            </w:pPr>
          </w:p>
        </w:tc>
      </w:tr>
      <w:tr w:rsidR="0092258B" w:rsidRPr="005713D1" w14:paraId="67054E54" w14:textId="77777777" w:rsidTr="00293DDA">
        <w:trPr>
          <w:trHeight w:val="446"/>
        </w:trPr>
        <w:tc>
          <w:tcPr>
            <w:tcW w:w="5032" w:type="dxa"/>
            <w:vMerge/>
            <w:tcBorders>
              <w:top w:val="nil"/>
              <w:left w:val="nil"/>
              <w:bottom w:val="nil"/>
              <w:right w:val="nil"/>
            </w:tcBorders>
            <w:shd w:val="clear" w:color="auto" w:fill="D0DDEF"/>
            <w:vAlign w:val="center"/>
            <w:hideMark/>
          </w:tcPr>
          <w:p w14:paraId="648F38B4" w14:textId="77777777" w:rsidR="0092258B" w:rsidRPr="00E36371" w:rsidRDefault="0092258B" w:rsidP="00293DDA">
            <w:pPr>
              <w:suppressAutoHyphens/>
              <w:rPr>
                <w:rFonts w:ascii="Verdana" w:eastAsia="MS Gothic" w:hAnsi="Verdana"/>
                <w:color w:val="5A6E74"/>
                <w:sz w:val="14"/>
                <w:szCs w:val="14"/>
                <w:lang w:val="pt-PT"/>
              </w:rPr>
            </w:pPr>
          </w:p>
        </w:tc>
        <w:tc>
          <w:tcPr>
            <w:tcW w:w="1610" w:type="dxa"/>
            <w:tcBorders>
              <w:top w:val="nil"/>
              <w:left w:val="nil"/>
              <w:bottom w:val="nil"/>
              <w:right w:val="nil"/>
            </w:tcBorders>
            <w:shd w:val="clear" w:color="auto" w:fill="auto"/>
            <w:tcMar>
              <w:top w:w="80" w:type="dxa"/>
              <w:left w:w="80" w:type="dxa"/>
              <w:bottom w:w="80" w:type="dxa"/>
              <w:right w:w="80" w:type="dxa"/>
            </w:tcMar>
            <w:vAlign w:val="center"/>
            <w:hideMark/>
          </w:tcPr>
          <w:p w14:paraId="657F356B" w14:textId="77777777" w:rsidR="0092258B" w:rsidRPr="00E36371" w:rsidRDefault="0092258B" w:rsidP="00293DDA">
            <w:pPr>
              <w:keepNext/>
              <w:keepLines/>
              <w:suppressAutoHyphens/>
              <w:spacing w:line="500" w:lineRule="exact"/>
              <w:outlineLvl w:val="8"/>
              <w:rPr>
                <w:rFonts w:ascii="Verdana" w:eastAsia="MS Gothic" w:hAnsi="Verdana"/>
                <w:color w:val="5A6E74"/>
                <w:sz w:val="14"/>
                <w:szCs w:val="14"/>
                <w:bdr w:val="none" w:sz="0" w:space="0" w:color="auto" w:frame="1"/>
                <w:lang w:val="pt-PT"/>
              </w:rPr>
            </w:pPr>
          </w:p>
        </w:tc>
        <w:tc>
          <w:tcPr>
            <w:tcW w:w="2685" w:type="dxa"/>
            <w:tcBorders>
              <w:top w:val="nil"/>
              <w:left w:val="nil"/>
              <w:bottom w:val="nil"/>
              <w:right w:val="nil"/>
            </w:tcBorders>
            <w:shd w:val="clear" w:color="auto" w:fill="auto"/>
            <w:tcMar>
              <w:top w:w="80" w:type="dxa"/>
              <w:left w:w="80" w:type="dxa"/>
              <w:bottom w:w="80" w:type="dxa"/>
              <w:right w:w="80" w:type="dxa"/>
            </w:tcMar>
            <w:vAlign w:val="center"/>
          </w:tcPr>
          <w:p w14:paraId="5C313684" w14:textId="77777777" w:rsidR="0092258B" w:rsidRPr="00E36371" w:rsidRDefault="0092258B" w:rsidP="00293DDA">
            <w:pPr>
              <w:keepNext/>
              <w:keepLines/>
              <w:suppressAutoHyphens/>
              <w:spacing w:line="200" w:lineRule="exact"/>
              <w:outlineLvl w:val="8"/>
              <w:rPr>
                <w:rFonts w:ascii="Verdana" w:eastAsia="MS Gothic" w:hAnsi="Verdana"/>
                <w:color w:val="5A6E74"/>
                <w:sz w:val="14"/>
                <w:szCs w:val="14"/>
                <w:bdr w:val="none" w:sz="0" w:space="0" w:color="auto" w:frame="1"/>
                <w:lang w:val="pt-PT"/>
              </w:rPr>
            </w:pPr>
          </w:p>
        </w:tc>
      </w:tr>
      <w:bookmarkEnd w:id="0"/>
    </w:tbl>
    <w:p w14:paraId="18ED92E4" w14:textId="77777777" w:rsidR="0092258B" w:rsidRPr="00533FDC" w:rsidRDefault="0092258B" w:rsidP="003A1757">
      <w:pPr>
        <w:pStyle w:val="TreA"/>
        <w:spacing w:line="288" w:lineRule="auto"/>
        <w:jc w:val="both"/>
        <w:rPr>
          <w:rFonts w:asciiTheme="minorHAnsi" w:hAnsiTheme="minorHAnsi" w:cstheme="minorHAnsi"/>
          <w:lang w:val="en-US"/>
        </w:rPr>
      </w:pPr>
    </w:p>
    <w:sectPr w:rsidR="0092258B" w:rsidRPr="00533FDC">
      <w:headerReference w:type="even" r:id="rId24"/>
      <w:headerReference w:type="default" r:id="rId25"/>
      <w:footerReference w:type="default" r:id="rId26"/>
      <w:headerReference w:type="firs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5647" w14:textId="77777777" w:rsidR="004B39F9" w:rsidRDefault="004B39F9">
      <w:r>
        <w:separator/>
      </w:r>
    </w:p>
  </w:endnote>
  <w:endnote w:type="continuationSeparator" w:id="0">
    <w:p w14:paraId="49AC81D5" w14:textId="77777777" w:rsidR="004B39F9" w:rsidRDefault="004B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876B" w14:textId="77777777" w:rsidR="009C5698" w:rsidRPr="00BE0AA4" w:rsidRDefault="003811BB" w:rsidP="00BE0AA4">
    <w:pPr>
      <w:pStyle w:val="Stopka"/>
      <w:tabs>
        <w:tab w:val="clear" w:pos="8504"/>
        <w:tab w:val="right" w:pos="9498"/>
      </w:tabs>
      <w:ind w:right="-994"/>
      <w:jc w:val="right"/>
      <w:rPr>
        <w:rFonts w:ascii="Calibri" w:hAnsi="Calibri"/>
        <w:b/>
        <w:color w:val="425563"/>
        <w:sz w:val="32"/>
        <w:szCs w:val="32"/>
      </w:rPr>
    </w:pPr>
    <w:r>
      <w:rPr>
        <w:noProof/>
        <w:lang w:val="es-ES"/>
      </w:rPr>
      <w:drawing>
        <wp:anchor distT="0" distB="0" distL="114300" distR="114300" simplePos="0" relativeHeight="251660288" behindDoc="1" locked="0" layoutInCell="1" allowOverlap="0" wp14:anchorId="070FD2E0" wp14:editId="05198EB4">
          <wp:simplePos x="0" y="0"/>
          <wp:positionH relativeFrom="column">
            <wp:posOffset>-1089660</wp:posOffset>
          </wp:positionH>
          <wp:positionV relativeFrom="paragraph">
            <wp:posOffset>511175</wp:posOffset>
          </wp:positionV>
          <wp:extent cx="8890000" cy="174625"/>
          <wp:effectExtent l="0" t="0" r="0" b="0"/>
          <wp:wrapTight wrapText="bothSides">
            <wp:wrapPolygon edited="0">
              <wp:start x="0" y="0"/>
              <wp:lineTo x="0" y="18851"/>
              <wp:lineTo x="21569" y="18851"/>
              <wp:lineTo x="21569" y="0"/>
              <wp:lineTo x="0"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srcRect t="27632"/>
                  <a:stretch/>
                </pic:blipFill>
                <pic:spPr bwMode="auto">
                  <a:xfrm>
                    <a:off x="0" y="0"/>
                    <a:ext cx="8890000" cy="1746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4324" w14:textId="77777777" w:rsidR="004B39F9" w:rsidRDefault="004B39F9">
      <w:r>
        <w:separator/>
      </w:r>
    </w:p>
  </w:footnote>
  <w:footnote w:type="continuationSeparator" w:id="0">
    <w:p w14:paraId="41971C98" w14:textId="77777777" w:rsidR="004B39F9" w:rsidRDefault="004B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5C18" w14:textId="0540F3A2" w:rsidR="00040FBF" w:rsidRDefault="00040FBF">
    <w:pPr>
      <w:pStyle w:val="Nagwek"/>
    </w:pPr>
    <w:r>
      <w:rPr>
        <w:noProof/>
      </w:rPr>
      <mc:AlternateContent>
        <mc:Choice Requires="wps">
          <w:drawing>
            <wp:anchor distT="0" distB="0" distL="0" distR="0" simplePos="0" relativeHeight="251664384" behindDoc="0" locked="0" layoutInCell="1" allowOverlap="1" wp14:anchorId="27CF4A3F" wp14:editId="7A663204">
              <wp:simplePos x="635" y="635"/>
              <wp:positionH relativeFrom="page">
                <wp:align>right</wp:align>
              </wp:positionH>
              <wp:positionV relativeFrom="page">
                <wp:align>top</wp:align>
              </wp:positionV>
              <wp:extent cx="443865" cy="443865"/>
              <wp:effectExtent l="0" t="0" r="0" b="16510"/>
              <wp:wrapNone/>
              <wp:docPr id="2" name="Textové pole 2" descr="Company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86A5E" w14:textId="4D158D30" w:rsidR="00040FBF" w:rsidRPr="00040FBF" w:rsidRDefault="00040FBF" w:rsidP="00040FBF">
                          <w:pPr>
                            <w:rPr>
                              <w:rFonts w:ascii="Calibri" w:eastAsia="Calibri" w:hAnsi="Calibri" w:cs="Calibri"/>
                              <w:noProof/>
                              <w:color w:val="000000"/>
                              <w:sz w:val="20"/>
                              <w:szCs w:val="20"/>
                            </w:rPr>
                          </w:pPr>
                          <w:r w:rsidRPr="00040FBF">
                            <w:rPr>
                              <w:rFonts w:ascii="Calibri" w:eastAsia="Calibri" w:hAnsi="Calibri" w:cs="Calibri"/>
                              <w:noProof/>
                              <w:color w:val="000000"/>
                              <w:sz w:val="20"/>
                              <w:szCs w:val="20"/>
                            </w:rPr>
                            <w:t>Company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CF4A3F" id="_x0000_t202" coordsize="21600,21600" o:spt="202" path="m,l,21600r21600,l21600,xe">
              <v:stroke joinstyle="miter"/>
              <v:path gradientshapeok="t" o:connecttype="rect"/>
            </v:shapetype>
            <v:shape id="Textové pole 2" o:spid="_x0000_s1026" type="#_x0000_t202" alt="Company INTERNAL" style="position:absolute;margin-left:-16.25pt;margin-top:0;width:34.95pt;height:34.95pt;z-index:2516643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8F86A5E" w14:textId="4D158D30" w:rsidR="00040FBF" w:rsidRPr="00040FBF" w:rsidRDefault="00040FBF" w:rsidP="00040FBF">
                    <w:pPr>
                      <w:rPr>
                        <w:rFonts w:ascii="Calibri" w:eastAsia="Calibri" w:hAnsi="Calibri" w:cs="Calibri"/>
                        <w:noProof/>
                        <w:color w:val="000000"/>
                        <w:sz w:val="20"/>
                        <w:szCs w:val="20"/>
                      </w:rPr>
                    </w:pPr>
                    <w:r w:rsidRPr="00040FBF">
                      <w:rPr>
                        <w:rFonts w:ascii="Calibri" w:eastAsia="Calibri" w:hAnsi="Calibri" w:cs="Calibri"/>
                        <w:noProof/>
                        <w:color w:val="000000"/>
                        <w:sz w:val="20"/>
                        <w:szCs w:val="20"/>
                      </w:rPr>
                      <w:t>Company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FC87" w14:textId="5063C539" w:rsidR="00D12CEB" w:rsidRDefault="00040FBF">
    <w:pPr>
      <w:pStyle w:val="Nagwek"/>
    </w:pPr>
    <w:r>
      <w:rPr>
        <w:noProof/>
        <w:lang w:val="es-ES"/>
      </w:rPr>
      <mc:AlternateContent>
        <mc:Choice Requires="wps">
          <w:drawing>
            <wp:anchor distT="0" distB="0" distL="0" distR="0" simplePos="0" relativeHeight="251665408" behindDoc="0" locked="0" layoutInCell="1" allowOverlap="1" wp14:anchorId="1E9205A8" wp14:editId="44757CF3">
              <wp:simplePos x="1076325" y="447675"/>
              <wp:positionH relativeFrom="page">
                <wp:align>right</wp:align>
              </wp:positionH>
              <wp:positionV relativeFrom="page">
                <wp:align>top</wp:align>
              </wp:positionV>
              <wp:extent cx="443865" cy="443865"/>
              <wp:effectExtent l="0" t="0" r="0" b="16510"/>
              <wp:wrapNone/>
              <wp:docPr id="3" name="Textové pole 3" descr="Company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7C2EE" w14:textId="77DDFA53" w:rsidR="00040FBF" w:rsidRPr="00040FBF" w:rsidRDefault="00040FBF" w:rsidP="00040FBF">
                          <w:pPr>
                            <w:rPr>
                              <w:rFonts w:ascii="Calibri" w:eastAsia="Calibri" w:hAnsi="Calibri" w:cs="Calibri"/>
                              <w:noProof/>
                              <w:color w:val="000000"/>
                              <w:sz w:val="20"/>
                              <w:szCs w:val="20"/>
                            </w:rPr>
                          </w:pPr>
                          <w:r w:rsidRPr="00040FBF">
                            <w:rPr>
                              <w:rFonts w:ascii="Calibri" w:eastAsia="Calibri" w:hAnsi="Calibri" w:cs="Calibri"/>
                              <w:noProof/>
                              <w:color w:val="000000"/>
                              <w:sz w:val="20"/>
                              <w:szCs w:val="20"/>
                            </w:rPr>
                            <w:t>Company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9205A8" id="_x0000_t202" coordsize="21600,21600" o:spt="202" path="m,l,21600r21600,l21600,xe">
              <v:stroke joinstyle="miter"/>
              <v:path gradientshapeok="t" o:connecttype="rect"/>
            </v:shapetype>
            <v:shape id="Textové pole 3" o:spid="_x0000_s1027" type="#_x0000_t202" alt="Company INTERNAL" style="position:absolute;margin-left:-16.25pt;margin-top:0;width:34.95pt;height:34.95pt;z-index:25166540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E57C2EE" w14:textId="77DDFA53" w:rsidR="00040FBF" w:rsidRPr="00040FBF" w:rsidRDefault="00040FBF" w:rsidP="00040FBF">
                    <w:pPr>
                      <w:rPr>
                        <w:rFonts w:ascii="Calibri" w:eastAsia="Calibri" w:hAnsi="Calibri" w:cs="Calibri"/>
                        <w:noProof/>
                        <w:color w:val="000000"/>
                        <w:sz w:val="20"/>
                        <w:szCs w:val="20"/>
                      </w:rPr>
                    </w:pPr>
                    <w:r w:rsidRPr="00040FBF">
                      <w:rPr>
                        <w:rFonts w:ascii="Calibri" w:eastAsia="Calibri" w:hAnsi="Calibri" w:cs="Calibri"/>
                        <w:noProof/>
                        <w:color w:val="000000"/>
                        <w:sz w:val="20"/>
                        <w:szCs w:val="20"/>
                      </w:rPr>
                      <w:t>Company INTERNAL</w:t>
                    </w:r>
                  </w:p>
                </w:txbxContent>
              </v:textbox>
              <w10:wrap anchorx="page" anchory="page"/>
            </v:shape>
          </w:pict>
        </mc:Fallback>
      </mc:AlternateContent>
    </w:r>
    <w:r w:rsidR="00D12CEB">
      <w:rPr>
        <w:noProof/>
        <w:lang w:val="es-ES"/>
      </w:rPr>
      <w:drawing>
        <wp:anchor distT="0" distB="0" distL="114300" distR="114300" simplePos="0" relativeHeight="251662336" behindDoc="1" locked="0" layoutInCell="1" allowOverlap="1" wp14:anchorId="51F0B531" wp14:editId="1A63F08B">
          <wp:simplePos x="0" y="0"/>
          <wp:positionH relativeFrom="column">
            <wp:posOffset>4444365</wp:posOffset>
          </wp:positionH>
          <wp:positionV relativeFrom="paragraph">
            <wp:posOffset>-132080</wp:posOffset>
          </wp:positionV>
          <wp:extent cx="1789430" cy="661670"/>
          <wp:effectExtent l="0" t="0" r="0" b="5080"/>
          <wp:wrapTight wrapText="bothSides">
            <wp:wrapPolygon edited="0">
              <wp:start x="17016" y="0"/>
              <wp:lineTo x="5519" y="4353"/>
              <wp:lineTo x="1380" y="6841"/>
              <wp:lineTo x="1380" y="17413"/>
              <wp:lineTo x="2300" y="19900"/>
              <wp:lineTo x="4829" y="21144"/>
              <wp:lineTo x="17476" y="21144"/>
              <wp:lineTo x="17936" y="18656"/>
              <wp:lineTo x="17936" y="13060"/>
              <wp:lineTo x="17476" y="11194"/>
              <wp:lineTo x="20236" y="7463"/>
              <wp:lineTo x="20466" y="4353"/>
              <wp:lineTo x="18166" y="0"/>
              <wp:lineTo x="17016" y="0"/>
            </wp:wrapPolygon>
          </wp:wrapTight>
          <wp:docPr id="4" name="Imagen 1" descr="logoCell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llne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9430" cy="661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27A9BA" w14:textId="77777777" w:rsidR="00D5653C" w:rsidRDefault="00D565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B9BB" w14:textId="6138C739" w:rsidR="00040FBF" w:rsidRDefault="00040FBF">
    <w:pPr>
      <w:pStyle w:val="Nagwek"/>
    </w:pPr>
    <w:r>
      <w:rPr>
        <w:noProof/>
      </w:rPr>
      <mc:AlternateContent>
        <mc:Choice Requires="wps">
          <w:drawing>
            <wp:anchor distT="0" distB="0" distL="0" distR="0" simplePos="0" relativeHeight="251663360" behindDoc="0" locked="0" layoutInCell="1" allowOverlap="1" wp14:anchorId="5A3FCD11" wp14:editId="6A1DE5C5">
              <wp:simplePos x="635" y="635"/>
              <wp:positionH relativeFrom="page">
                <wp:align>right</wp:align>
              </wp:positionH>
              <wp:positionV relativeFrom="page">
                <wp:align>top</wp:align>
              </wp:positionV>
              <wp:extent cx="443865" cy="443865"/>
              <wp:effectExtent l="0" t="0" r="0" b="16510"/>
              <wp:wrapNone/>
              <wp:docPr id="1" name="Textové pole 1" descr="Company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8793A" w14:textId="78FF6B60" w:rsidR="00040FBF" w:rsidRPr="00040FBF" w:rsidRDefault="00040FBF" w:rsidP="00040FBF">
                          <w:pPr>
                            <w:rPr>
                              <w:rFonts w:ascii="Calibri" w:eastAsia="Calibri" w:hAnsi="Calibri" w:cs="Calibri"/>
                              <w:noProof/>
                              <w:color w:val="000000"/>
                              <w:sz w:val="20"/>
                              <w:szCs w:val="20"/>
                            </w:rPr>
                          </w:pPr>
                          <w:r w:rsidRPr="00040FBF">
                            <w:rPr>
                              <w:rFonts w:ascii="Calibri" w:eastAsia="Calibri" w:hAnsi="Calibri" w:cs="Calibri"/>
                              <w:noProof/>
                              <w:color w:val="000000"/>
                              <w:sz w:val="20"/>
                              <w:szCs w:val="20"/>
                            </w:rPr>
                            <w:t>Company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A3FCD11" id="_x0000_t202" coordsize="21600,21600" o:spt="202" path="m,l,21600r21600,l21600,xe">
              <v:stroke joinstyle="miter"/>
              <v:path gradientshapeok="t" o:connecttype="rect"/>
            </v:shapetype>
            <v:shape id="Textové pole 1" o:spid="_x0000_s1028" type="#_x0000_t202" alt="Company INTERNAL"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E68793A" w14:textId="78FF6B60" w:rsidR="00040FBF" w:rsidRPr="00040FBF" w:rsidRDefault="00040FBF" w:rsidP="00040FBF">
                    <w:pPr>
                      <w:rPr>
                        <w:rFonts w:ascii="Calibri" w:eastAsia="Calibri" w:hAnsi="Calibri" w:cs="Calibri"/>
                        <w:noProof/>
                        <w:color w:val="000000"/>
                        <w:sz w:val="20"/>
                        <w:szCs w:val="20"/>
                      </w:rPr>
                    </w:pPr>
                    <w:r w:rsidRPr="00040FBF">
                      <w:rPr>
                        <w:rFonts w:ascii="Calibri" w:eastAsia="Calibri" w:hAnsi="Calibri" w:cs="Calibri"/>
                        <w:noProof/>
                        <w:color w:val="000000"/>
                        <w:sz w:val="20"/>
                        <w:szCs w:val="20"/>
                      </w:rPr>
                      <w:t>Company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27E"/>
    <w:multiLevelType w:val="hybridMultilevel"/>
    <w:tmpl w:val="7124E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1AF4C55"/>
    <w:multiLevelType w:val="multilevel"/>
    <w:tmpl w:val="472A759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49895DE1"/>
    <w:multiLevelType w:val="hybridMultilevel"/>
    <w:tmpl w:val="08BC613C"/>
    <w:lvl w:ilvl="0" w:tplc="D76614BA">
      <w:start w:val="1"/>
      <w:numFmt w:val="bullet"/>
      <w:lvlText w:val=""/>
      <w:lvlJc w:val="left"/>
      <w:pPr>
        <w:ind w:left="720" w:hanging="360"/>
      </w:pPr>
      <w:rPr>
        <w:rFonts w:ascii="Symbol" w:hAnsi="Symbol" w:hint="default"/>
      </w:rPr>
    </w:lvl>
    <w:lvl w:ilvl="1" w:tplc="70749B82">
      <w:start w:val="1"/>
      <w:numFmt w:val="bullet"/>
      <w:lvlText w:val="o"/>
      <w:lvlJc w:val="left"/>
      <w:pPr>
        <w:ind w:left="1440" w:hanging="360"/>
      </w:pPr>
      <w:rPr>
        <w:rFonts w:ascii="Courier New" w:hAnsi="Courier New" w:hint="default"/>
      </w:rPr>
    </w:lvl>
    <w:lvl w:ilvl="2" w:tplc="38E61D38">
      <w:start w:val="1"/>
      <w:numFmt w:val="bullet"/>
      <w:lvlText w:val=""/>
      <w:lvlJc w:val="left"/>
      <w:pPr>
        <w:ind w:left="2160" w:hanging="360"/>
      </w:pPr>
      <w:rPr>
        <w:rFonts w:ascii="Wingdings" w:hAnsi="Wingdings" w:hint="default"/>
      </w:rPr>
    </w:lvl>
    <w:lvl w:ilvl="3" w:tplc="688AEC08">
      <w:start w:val="1"/>
      <w:numFmt w:val="bullet"/>
      <w:lvlText w:val=""/>
      <w:lvlJc w:val="left"/>
      <w:pPr>
        <w:ind w:left="2880" w:hanging="360"/>
      </w:pPr>
      <w:rPr>
        <w:rFonts w:ascii="Symbol" w:hAnsi="Symbol" w:hint="default"/>
      </w:rPr>
    </w:lvl>
    <w:lvl w:ilvl="4" w:tplc="6FD0E0F2">
      <w:start w:val="1"/>
      <w:numFmt w:val="bullet"/>
      <w:lvlText w:val="o"/>
      <w:lvlJc w:val="left"/>
      <w:pPr>
        <w:ind w:left="3600" w:hanging="360"/>
      </w:pPr>
      <w:rPr>
        <w:rFonts w:ascii="Courier New" w:hAnsi="Courier New" w:hint="default"/>
      </w:rPr>
    </w:lvl>
    <w:lvl w:ilvl="5" w:tplc="4A285B94">
      <w:start w:val="1"/>
      <w:numFmt w:val="bullet"/>
      <w:lvlText w:val=""/>
      <w:lvlJc w:val="left"/>
      <w:pPr>
        <w:ind w:left="4320" w:hanging="360"/>
      </w:pPr>
      <w:rPr>
        <w:rFonts w:ascii="Wingdings" w:hAnsi="Wingdings" w:hint="default"/>
      </w:rPr>
    </w:lvl>
    <w:lvl w:ilvl="6" w:tplc="993AE30E">
      <w:start w:val="1"/>
      <w:numFmt w:val="bullet"/>
      <w:lvlText w:val=""/>
      <w:lvlJc w:val="left"/>
      <w:pPr>
        <w:ind w:left="5040" w:hanging="360"/>
      </w:pPr>
      <w:rPr>
        <w:rFonts w:ascii="Symbol" w:hAnsi="Symbol" w:hint="default"/>
      </w:rPr>
    </w:lvl>
    <w:lvl w:ilvl="7" w:tplc="4F3AF236">
      <w:start w:val="1"/>
      <w:numFmt w:val="bullet"/>
      <w:lvlText w:val="o"/>
      <w:lvlJc w:val="left"/>
      <w:pPr>
        <w:ind w:left="5760" w:hanging="360"/>
      </w:pPr>
      <w:rPr>
        <w:rFonts w:ascii="Courier New" w:hAnsi="Courier New" w:hint="default"/>
      </w:rPr>
    </w:lvl>
    <w:lvl w:ilvl="8" w:tplc="C39A7F02">
      <w:start w:val="1"/>
      <w:numFmt w:val="bullet"/>
      <w:lvlText w:val=""/>
      <w:lvlJc w:val="left"/>
      <w:pPr>
        <w:ind w:left="6480" w:hanging="360"/>
      </w:pPr>
      <w:rPr>
        <w:rFonts w:ascii="Wingdings" w:hAnsi="Wingdings" w:hint="default"/>
      </w:rPr>
    </w:lvl>
  </w:abstractNum>
  <w:abstractNum w:abstractNumId="3" w15:restartNumberingAfterBreak="0">
    <w:nsid w:val="4D393C22"/>
    <w:multiLevelType w:val="hybridMultilevel"/>
    <w:tmpl w:val="5290E0A6"/>
    <w:styleLink w:val="Kreski"/>
    <w:lvl w:ilvl="0" w:tplc="066828C4">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49C03BA">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6186AAA8">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F8A9BCA">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B6A5A14">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3BC2CA8">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1EA387A">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E5CF21C">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10EEB7A">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636E3CF3"/>
    <w:multiLevelType w:val="hybridMultilevel"/>
    <w:tmpl w:val="9992E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C0705B"/>
    <w:multiLevelType w:val="hybridMultilevel"/>
    <w:tmpl w:val="5290E0A6"/>
    <w:numStyleLink w:val="Kreski"/>
  </w:abstractNum>
  <w:abstractNum w:abstractNumId="6" w15:restartNumberingAfterBreak="0">
    <w:nsid w:val="6F4448E0"/>
    <w:multiLevelType w:val="hybridMultilevel"/>
    <w:tmpl w:val="4F26C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B07296"/>
    <w:multiLevelType w:val="hybridMultilevel"/>
    <w:tmpl w:val="758AB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62465091">
    <w:abstractNumId w:val="2"/>
  </w:num>
  <w:num w:numId="2" w16cid:durableId="1887910329">
    <w:abstractNumId w:val="4"/>
  </w:num>
  <w:num w:numId="3" w16cid:durableId="775709559">
    <w:abstractNumId w:val="0"/>
  </w:num>
  <w:num w:numId="4" w16cid:durableId="872034900">
    <w:abstractNumId w:val="6"/>
  </w:num>
  <w:num w:numId="5" w16cid:durableId="249970658">
    <w:abstractNumId w:val="1"/>
  </w:num>
  <w:num w:numId="6" w16cid:durableId="698358147">
    <w:abstractNumId w:val="7"/>
  </w:num>
  <w:num w:numId="7" w16cid:durableId="563292630">
    <w:abstractNumId w:val="3"/>
  </w:num>
  <w:num w:numId="8" w16cid:durableId="888492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DC"/>
    <w:rsid w:val="000006D2"/>
    <w:rsid w:val="000109DB"/>
    <w:rsid w:val="0001136E"/>
    <w:rsid w:val="00021AEA"/>
    <w:rsid w:val="000316EF"/>
    <w:rsid w:val="00040FBF"/>
    <w:rsid w:val="00083A15"/>
    <w:rsid w:val="000965FE"/>
    <w:rsid w:val="00097EEF"/>
    <w:rsid w:val="000E0C1D"/>
    <w:rsid w:val="001432C0"/>
    <w:rsid w:val="001449A8"/>
    <w:rsid w:val="00157AE3"/>
    <w:rsid w:val="001624AE"/>
    <w:rsid w:val="001663B3"/>
    <w:rsid w:val="00174838"/>
    <w:rsid w:val="00177590"/>
    <w:rsid w:val="001850F8"/>
    <w:rsid w:val="0021507D"/>
    <w:rsid w:val="0021599D"/>
    <w:rsid w:val="00277091"/>
    <w:rsid w:val="002B01EF"/>
    <w:rsid w:val="002C18AA"/>
    <w:rsid w:val="002C2D06"/>
    <w:rsid w:val="002C5A52"/>
    <w:rsid w:val="00324693"/>
    <w:rsid w:val="003276FD"/>
    <w:rsid w:val="00333C8B"/>
    <w:rsid w:val="0035398E"/>
    <w:rsid w:val="003811BB"/>
    <w:rsid w:val="00391D59"/>
    <w:rsid w:val="0039508C"/>
    <w:rsid w:val="00397F56"/>
    <w:rsid w:val="003A0E7D"/>
    <w:rsid w:val="003A1757"/>
    <w:rsid w:val="003A449B"/>
    <w:rsid w:val="004116AD"/>
    <w:rsid w:val="004170D2"/>
    <w:rsid w:val="004922AA"/>
    <w:rsid w:val="004A601E"/>
    <w:rsid w:val="004B39F9"/>
    <w:rsid w:val="004C6FD1"/>
    <w:rsid w:val="00500A05"/>
    <w:rsid w:val="0050628D"/>
    <w:rsid w:val="00513473"/>
    <w:rsid w:val="00533FDC"/>
    <w:rsid w:val="00540F61"/>
    <w:rsid w:val="00540FCC"/>
    <w:rsid w:val="0055298F"/>
    <w:rsid w:val="00564584"/>
    <w:rsid w:val="00566965"/>
    <w:rsid w:val="0057182F"/>
    <w:rsid w:val="00572BB6"/>
    <w:rsid w:val="0059545C"/>
    <w:rsid w:val="005A10EB"/>
    <w:rsid w:val="0061574E"/>
    <w:rsid w:val="006408EE"/>
    <w:rsid w:val="00641146"/>
    <w:rsid w:val="006535E9"/>
    <w:rsid w:val="00667109"/>
    <w:rsid w:val="006731F2"/>
    <w:rsid w:val="00674143"/>
    <w:rsid w:val="00677ACD"/>
    <w:rsid w:val="006B1D9C"/>
    <w:rsid w:val="006D501B"/>
    <w:rsid w:val="006F0E25"/>
    <w:rsid w:val="00742397"/>
    <w:rsid w:val="00744357"/>
    <w:rsid w:val="007775D3"/>
    <w:rsid w:val="007D0D80"/>
    <w:rsid w:val="008019B9"/>
    <w:rsid w:val="008545FC"/>
    <w:rsid w:val="008B2F1E"/>
    <w:rsid w:val="008B449D"/>
    <w:rsid w:val="008E2C74"/>
    <w:rsid w:val="008F06C6"/>
    <w:rsid w:val="009202C3"/>
    <w:rsid w:val="009214DA"/>
    <w:rsid w:val="0092258B"/>
    <w:rsid w:val="009270BC"/>
    <w:rsid w:val="00941699"/>
    <w:rsid w:val="0094597A"/>
    <w:rsid w:val="0096118B"/>
    <w:rsid w:val="00984D5D"/>
    <w:rsid w:val="009A708D"/>
    <w:rsid w:val="009C5698"/>
    <w:rsid w:val="009E100F"/>
    <w:rsid w:val="009F1F92"/>
    <w:rsid w:val="00A05F80"/>
    <w:rsid w:val="00A330B1"/>
    <w:rsid w:val="00A65624"/>
    <w:rsid w:val="00A6706B"/>
    <w:rsid w:val="00A874C1"/>
    <w:rsid w:val="00AA52F1"/>
    <w:rsid w:val="00AA6858"/>
    <w:rsid w:val="00AB54D8"/>
    <w:rsid w:val="00AD1C80"/>
    <w:rsid w:val="00AF1325"/>
    <w:rsid w:val="00B020C0"/>
    <w:rsid w:val="00B43B1D"/>
    <w:rsid w:val="00B5162B"/>
    <w:rsid w:val="00B56C0D"/>
    <w:rsid w:val="00B73886"/>
    <w:rsid w:val="00B81FB4"/>
    <w:rsid w:val="00B876BC"/>
    <w:rsid w:val="00B93EE7"/>
    <w:rsid w:val="00BE0AA4"/>
    <w:rsid w:val="00BE27F2"/>
    <w:rsid w:val="00C12D16"/>
    <w:rsid w:val="00C21A4C"/>
    <w:rsid w:val="00C26920"/>
    <w:rsid w:val="00C56B49"/>
    <w:rsid w:val="00C92DE2"/>
    <w:rsid w:val="00CB46DC"/>
    <w:rsid w:val="00CC580C"/>
    <w:rsid w:val="00D04B32"/>
    <w:rsid w:val="00D0524D"/>
    <w:rsid w:val="00D075C3"/>
    <w:rsid w:val="00D12CEB"/>
    <w:rsid w:val="00D240BA"/>
    <w:rsid w:val="00D31715"/>
    <w:rsid w:val="00D34495"/>
    <w:rsid w:val="00D533B7"/>
    <w:rsid w:val="00D559BB"/>
    <w:rsid w:val="00D5653C"/>
    <w:rsid w:val="00D95ED8"/>
    <w:rsid w:val="00DA7DEA"/>
    <w:rsid w:val="00DB5979"/>
    <w:rsid w:val="00DD6E8A"/>
    <w:rsid w:val="00DE1F3F"/>
    <w:rsid w:val="00DE2704"/>
    <w:rsid w:val="00E00B64"/>
    <w:rsid w:val="00E01C52"/>
    <w:rsid w:val="00E152BE"/>
    <w:rsid w:val="00E27A61"/>
    <w:rsid w:val="00E31999"/>
    <w:rsid w:val="00E44D47"/>
    <w:rsid w:val="00E526C7"/>
    <w:rsid w:val="00E73112"/>
    <w:rsid w:val="00EA5697"/>
    <w:rsid w:val="00EC028B"/>
    <w:rsid w:val="00EC31C5"/>
    <w:rsid w:val="00EE6077"/>
    <w:rsid w:val="00EE6D65"/>
    <w:rsid w:val="00EF044E"/>
    <w:rsid w:val="00EF1548"/>
    <w:rsid w:val="00EF3667"/>
    <w:rsid w:val="00F64835"/>
    <w:rsid w:val="00F706BE"/>
    <w:rsid w:val="00F819F0"/>
    <w:rsid w:val="00F82A0D"/>
    <w:rsid w:val="00F846A0"/>
    <w:rsid w:val="00FA194B"/>
    <w:rsid w:val="00FA5E53"/>
    <w:rsid w:val="00FE1B9C"/>
    <w:rsid w:val="00FE2F06"/>
    <w:rsid w:val="00FE3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5D442"/>
  <w15:docId w15:val="{A6A4D83F-3770-4388-A7F1-F05CB460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A1757"/>
    <w:rPr>
      <w:rFonts w:ascii="Tahoma" w:hAnsi="Tahoma"/>
      <w:sz w:val="24"/>
      <w:szCs w:val="24"/>
      <w:lang w:val="ca-ES"/>
    </w:rPr>
  </w:style>
  <w:style w:type="paragraph" w:styleId="Nagwek1">
    <w:name w:val="heading 1"/>
    <w:basedOn w:val="Normalny"/>
    <w:next w:val="Normalny"/>
    <w:qFormat/>
    <w:pPr>
      <w:keepNext/>
      <w:outlineLvl w:val="0"/>
    </w:pPr>
    <w:rPr>
      <w:rFonts w:ascii="Verdana" w:hAnsi="Verdana"/>
      <w:b/>
      <w:bCs/>
      <w:lang w:val="es-ES"/>
    </w:rPr>
  </w:style>
  <w:style w:type="paragraph" w:styleId="Nagwek2">
    <w:name w:val="heading 2"/>
    <w:basedOn w:val="Normalny"/>
    <w:next w:val="Normalny"/>
    <w:qFormat/>
    <w:pPr>
      <w:keepNext/>
      <w:jc w:val="right"/>
      <w:outlineLvl w:val="1"/>
    </w:pPr>
    <w:rPr>
      <w:rFonts w:ascii="Verdana" w:hAnsi="Verdana"/>
      <w:b/>
      <w:bCs/>
      <w:color w:val="002D47"/>
      <w:sz w:val="28"/>
      <w:lang w:val="es-ES"/>
    </w:rPr>
  </w:style>
  <w:style w:type="paragraph" w:styleId="Nagwek3">
    <w:name w:val="heading 3"/>
    <w:basedOn w:val="Normalny"/>
    <w:next w:val="Normalny"/>
    <w:qFormat/>
    <w:pPr>
      <w:keepNext/>
      <w:outlineLvl w:val="2"/>
    </w:pPr>
    <w:rPr>
      <w:rFonts w:ascii="Verdana" w:hAnsi="Verdana"/>
      <w:b/>
      <w:color w:val="002D47"/>
      <w:sz w:val="32"/>
      <w:u w:val="single"/>
      <w:lang w:val="es-ES"/>
    </w:rPr>
  </w:style>
  <w:style w:type="paragraph" w:styleId="Nagwek4">
    <w:name w:val="heading 4"/>
    <w:basedOn w:val="Normalny"/>
    <w:next w:val="Normalny"/>
    <w:link w:val="Nagwek4Znak"/>
    <w:semiHidden/>
    <w:unhideWhenUsed/>
    <w:qFormat/>
    <w:rsid w:val="00B738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252"/>
        <w:tab w:val="right" w:pos="8504"/>
      </w:tabs>
    </w:pPr>
  </w:style>
  <w:style w:type="paragraph" w:styleId="Stopka">
    <w:name w:val="footer"/>
    <w:basedOn w:val="Normalny"/>
    <w:pPr>
      <w:tabs>
        <w:tab w:val="center" w:pos="4252"/>
        <w:tab w:val="right" w:pos="8504"/>
      </w:tabs>
    </w:pPr>
  </w:style>
  <w:style w:type="paragraph" w:styleId="Tekstpodstawowy">
    <w:name w:val="Body Text"/>
    <w:basedOn w:val="Normalny"/>
    <w:pPr>
      <w:jc w:val="right"/>
    </w:pPr>
    <w:rPr>
      <w:rFonts w:ascii="Verdana" w:hAnsi="Verdana"/>
      <w:b/>
      <w:bCs/>
      <w:sz w:val="32"/>
      <w:lang w:val="es-ES"/>
    </w:rPr>
  </w:style>
  <w:style w:type="paragraph" w:styleId="Tekstpodstawowy2">
    <w:name w:val="Body Text 2"/>
    <w:basedOn w:val="Normalny"/>
    <w:link w:val="Tekstpodstawowy2Znak"/>
    <w:rsid w:val="0096118B"/>
    <w:pPr>
      <w:spacing w:after="120" w:line="480" w:lineRule="auto"/>
    </w:pPr>
  </w:style>
  <w:style w:type="character" w:customStyle="1" w:styleId="Tekstpodstawowy2Znak">
    <w:name w:val="Tekst podstawowy 2 Znak"/>
    <w:basedOn w:val="Domylnaczcionkaakapitu"/>
    <w:link w:val="Tekstpodstawowy2"/>
    <w:rsid w:val="0096118B"/>
    <w:rPr>
      <w:rFonts w:ascii="Tahoma" w:hAnsi="Tahoma"/>
      <w:sz w:val="24"/>
      <w:szCs w:val="24"/>
      <w:lang w:val="ca-ES" w:bidi="ar-SA"/>
    </w:rPr>
  </w:style>
  <w:style w:type="table" w:styleId="Tabela-Siatka">
    <w:name w:val="Table Grid"/>
    <w:basedOn w:val="Standardowy"/>
    <w:rsid w:val="004A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semiHidden/>
    <w:rsid w:val="00B73886"/>
    <w:rPr>
      <w:rFonts w:asciiTheme="majorHAnsi" w:eastAsiaTheme="majorEastAsia" w:hAnsiTheme="majorHAnsi" w:cstheme="majorBidi"/>
      <w:i/>
      <w:iCs/>
      <w:color w:val="365F91" w:themeColor="accent1" w:themeShade="BF"/>
      <w:sz w:val="24"/>
      <w:szCs w:val="24"/>
      <w:lang w:val="ca-ES"/>
    </w:rPr>
  </w:style>
  <w:style w:type="character" w:styleId="Hipercze">
    <w:name w:val="Hyperlink"/>
    <w:basedOn w:val="Domylnaczcionkaakapitu"/>
    <w:uiPriority w:val="99"/>
    <w:unhideWhenUsed/>
    <w:rsid w:val="002B01EF"/>
    <w:rPr>
      <w:color w:val="0000FF" w:themeColor="hyperlink"/>
      <w:u w:val="single"/>
    </w:rPr>
  </w:style>
  <w:style w:type="character" w:styleId="Nierozpoznanawzmianka">
    <w:name w:val="Unresolved Mention"/>
    <w:basedOn w:val="Domylnaczcionkaakapitu"/>
    <w:uiPriority w:val="99"/>
    <w:semiHidden/>
    <w:unhideWhenUsed/>
    <w:rsid w:val="002B01EF"/>
    <w:rPr>
      <w:color w:val="605E5C"/>
      <w:shd w:val="clear" w:color="auto" w:fill="E1DFDD"/>
    </w:rPr>
  </w:style>
  <w:style w:type="paragraph" w:styleId="Akapitzlist">
    <w:name w:val="List Paragraph"/>
    <w:basedOn w:val="Normalny"/>
    <w:uiPriority w:val="34"/>
    <w:qFormat/>
    <w:rsid w:val="00CB46DC"/>
    <w:pPr>
      <w:ind w:left="720"/>
      <w:contextualSpacing/>
    </w:pPr>
    <w:rPr>
      <w:rFonts w:asciiTheme="minorHAnsi" w:eastAsiaTheme="minorHAnsi" w:hAnsiTheme="minorHAnsi" w:cstheme="minorBidi"/>
      <w:lang w:val="pl-PL" w:eastAsia="en-US"/>
    </w:rPr>
  </w:style>
  <w:style w:type="paragraph" w:styleId="Bezodstpw">
    <w:name w:val="No Spacing"/>
    <w:uiPriority w:val="1"/>
    <w:qFormat/>
    <w:rsid w:val="00CB46DC"/>
    <w:rPr>
      <w:rFonts w:asciiTheme="minorHAnsi" w:eastAsiaTheme="minorHAnsi" w:hAnsiTheme="minorHAnsi" w:cstheme="minorBidi"/>
      <w:sz w:val="24"/>
      <w:szCs w:val="24"/>
      <w:lang w:val="pl-PL" w:eastAsia="en-US"/>
    </w:rPr>
  </w:style>
  <w:style w:type="character" w:styleId="Pogrubienie">
    <w:name w:val="Strong"/>
    <w:basedOn w:val="Domylnaczcionkaakapitu"/>
    <w:uiPriority w:val="22"/>
    <w:qFormat/>
    <w:rsid w:val="00CB46DC"/>
    <w:rPr>
      <w:b/>
      <w:bCs/>
    </w:rPr>
  </w:style>
  <w:style w:type="paragraph" w:styleId="NormalnyWeb">
    <w:name w:val="Normal (Web)"/>
    <w:basedOn w:val="Normalny"/>
    <w:uiPriority w:val="99"/>
    <w:semiHidden/>
    <w:unhideWhenUsed/>
    <w:rsid w:val="00742397"/>
    <w:pPr>
      <w:spacing w:before="100" w:beforeAutospacing="1" w:after="100" w:afterAutospacing="1"/>
    </w:pPr>
    <w:rPr>
      <w:rFonts w:ascii="Times New Roman" w:hAnsi="Times New Roman"/>
      <w:lang w:val="pl-PL" w:eastAsia="pl-PL"/>
    </w:rPr>
  </w:style>
  <w:style w:type="paragraph" w:customStyle="1" w:styleId="TreA">
    <w:name w:val="Treść A"/>
    <w:rsid w:val="00533FD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pl-PL" w:eastAsia="pl-PL"/>
      <w14:textOutline w14:w="12700" w14:cap="flat" w14:cmpd="sng" w14:algn="ctr">
        <w14:noFill/>
        <w14:prstDash w14:val="solid"/>
        <w14:miter w14:lim="400000"/>
      </w14:textOutline>
    </w:rPr>
  </w:style>
  <w:style w:type="numbering" w:customStyle="1" w:styleId="Kreski">
    <w:name w:val="Kreski"/>
    <w:rsid w:val="00533FDC"/>
    <w:pPr>
      <w:numPr>
        <w:numId w:val="7"/>
      </w:numPr>
    </w:pPr>
  </w:style>
  <w:style w:type="paragraph" w:styleId="Poprawka">
    <w:name w:val="Revision"/>
    <w:hidden/>
    <w:uiPriority w:val="99"/>
    <w:semiHidden/>
    <w:rsid w:val="004170D2"/>
    <w:rPr>
      <w:rFonts w:ascii="Tahoma" w:hAnsi="Tahoma"/>
      <w:sz w:val="24"/>
      <w:szCs w:val="24"/>
      <w:lang w:val="ca-ES"/>
    </w:rPr>
  </w:style>
  <w:style w:type="table" w:customStyle="1" w:styleId="TableNormal11">
    <w:name w:val="Table Normal11"/>
    <w:rsid w:val="0092258B"/>
    <w:rPr>
      <w:rFonts w:eastAsia="Arial Unicode MS"/>
      <w:lang w:eastAsia="es-ES_trad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82548">
      <w:bodyDiv w:val="1"/>
      <w:marLeft w:val="0"/>
      <w:marRight w:val="0"/>
      <w:marTop w:val="0"/>
      <w:marBottom w:val="0"/>
      <w:divBdr>
        <w:top w:val="none" w:sz="0" w:space="0" w:color="auto"/>
        <w:left w:val="none" w:sz="0" w:space="0" w:color="auto"/>
        <w:bottom w:val="none" w:sz="0" w:space="0" w:color="auto"/>
        <w:right w:val="none" w:sz="0" w:space="0" w:color="auto"/>
      </w:divBdr>
    </w:div>
    <w:div w:id="1133596706">
      <w:bodyDiv w:val="1"/>
      <w:marLeft w:val="0"/>
      <w:marRight w:val="0"/>
      <w:marTop w:val="0"/>
      <w:marBottom w:val="0"/>
      <w:divBdr>
        <w:top w:val="none" w:sz="0" w:space="0" w:color="auto"/>
        <w:left w:val="none" w:sz="0" w:space="0" w:color="auto"/>
        <w:bottom w:val="none" w:sz="0" w:space="0" w:color="auto"/>
        <w:right w:val="none" w:sz="0" w:space="0" w:color="auto"/>
      </w:divBdr>
    </w:div>
    <w:div w:id="17286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llnex.pl" TargetMode="External"/><Relationship Id="rId18" Type="http://schemas.openxmlformats.org/officeDocument/2006/relationships/hyperlink" Target="http://www.cetin.e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cellnex_poland" TargetMode="External"/><Relationship Id="rId7" Type="http://schemas.openxmlformats.org/officeDocument/2006/relationships/settings" Target="settings.xml"/><Relationship Id="rId12" Type="http://schemas.openxmlformats.org/officeDocument/2006/relationships/hyperlink" Target="https://digital-strategy.ec.europa.eu/en/policies/cross-border-corridors" TargetMode="External"/><Relationship Id="rId17" Type="http://schemas.openxmlformats.org/officeDocument/2006/relationships/hyperlink" Target="file:///C:\Users\KCYRBUS\OneDrive%20-%20Cellnex%20Telecom\Desktop\Media\Info%20prasowe\www.linkedin.com\company\ceti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KCYRBUS\OneDrive%20-%20Cellnex%20Telecom\Desktop\Media\Info%20prasowe\www.facebook.com\cetin.cz\"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dea.ec.europa.eu/index_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KCYRBUS\OneDrive%20-%20Cellnex%20Telecom\Desktop\Media\Info%20prasowe\www.twitter.com\CETINCZ" TargetMode="External"/><Relationship Id="rId23" Type="http://schemas.openxmlformats.org/officeDocument/2006/relationships/hyperlink" Target="mailto:komunikacja@cellnextelecom.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company/cellnex-po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CYRBUS\OneDrive%20-%20Cellnex%20Telecom\Desktop\Media\Info%20prasowe\www.cetin.cz" TargetMode="External"/><Relationship Id="rId22" Type="http://schemas.openxmlformats.org/officeDocument/2006/relationships/image" Target="media/image2.png"/><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036FC29750848A53E936A35B09B18" ma:contentTypeVersion="18" ma:contentTypeDescription="Create a new document." ma:contentTypeScope="" ma:versionID="f847940f6912403435da2a3197fcecc3">
  <xsd:schema xmlns:xsd="http://www.w3.org/2001/XMLSchema" xmlns:xs="http://www.w3.org/2001/XMLSchema" xmlns:p="http://schemas.microsoft.com/office/2006/metadata/properties" xmlns:ns3="419dfc2b-4a65-4b8e-bc34-f44370bb7af4" xmlns:ns4="b93685a8-5b0b-45f7-b658-ae99bfec2b0f" targetNamespace="http://schemas.microsoft.com/office/2006/metadata/properties" ma:root="true" ma:fieldsID="7d6f1518fb887c6ae8766b2af555c325" ns3:_="" ns4:_="">
    <xsd:import namespace="419dfc2b-4a65-4b8e-bc34-f44370bb7af4"/>
    <xsd:import namespace="b93685a8-5b0b-45f7-b658-ae99bfec2b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dfc2b-4a65-4b8e-bc34-f44370bb7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685a8-5b0b-45f7-b658-ae99bfec2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9dfc2b-4a65-4b8e-bc34-f44370bb7a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8F80F-6170-43F5-AABA-78424443010D}">
  <ds:schemaRefs>
    <ds:schemaRef ds:uri="http://schemas.microsoft.com/sharepoint/v3/contenttype/forms"/>
  </ds:schemaRefs>
</ds:datastoreItem>
</file>

<file path=customXml/itemProps2.xml><?xml version="1.0" encoding="utf-8"?>
<ds:datastoreItem xmlns:ds="http://schemas.openxmlformats.org/officeDocument/2006/customXml" ds:itemID="{B53BFA34-BF5D-4344-9DBD-78C20C745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dfc2b-4a65-4b8e-bc34-f44370bb7af4"/>
    <ds:schemaRef ds:uri="b93685a8-5b0b-45f7-b658-ae99bfec2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BB72D-2AFE-4F6D-A00B-30CD522B8F94}">
  <ds:schemaRefs>
    <ds:schemaRef ds:uri="http://schemas.microsoft.com/office/2006/metadata/properties"/>
    <ds:schemaRef ds:uri="http://schemas.microsoft.com/office/infopath/2007/PartnerControls"/>
    <ds:schemaRef ds:uri="419dfc2b-4a65-4b8e-bc34-f44370bb7af4"/>
  </ds:schemaRefs>
</ds:datastoreItem>
</file>

<file path=customXml/itemProps4.xml><?xml version="1.0" encoding="utf-8"?>
<ds:datastoreItem xmlns:ds="http://schemas.openxmlformats.org/officeDocument/2006/customXml" ds:itemID="{1AA0B2A9-B2E6-4AF5-A78F-A4DF5F3D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7350</Characters>
  <Application>Microsoft Office Word</Application>
  <DocSecurity>0</DocSecurity>
  <Lines>61</Lines>
  <Paragraphs>17</Paragraphs>
  <ScaleCrop>false</ScaleCrop>
  <HeadingPairs>
    <vt:vector size="6" baseType="variant">
      <vt:variant>
        <vt:lpstr>Tytuł</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Tradia</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Cyrbus, Katarzyna</dc:creator>
  <cp:lastModifiedBy>Cyrbus, Katarzyna</cp:lastModifiedBy>
  <cp:revision>2</cp:revision>
  <cp:lastPrinted>2024-02-27T16:56:00Z</cp:lastPrinted>
  <dcterms:created xsi:type="dcterms:W3CDTF">2024-03-05T12:12:00Z</dcterms:created>
  <dcterms:modified xsi:type="dcterms:W3CDTF">2024-03-05T12:12:00Z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904b49-3f4d-4965-871f-2e2fd7247f94_Enabled">
    <vt:lpwstr>True</vt:lpwstr>
  </property>
  <property fmtid="{D5CDD505-2E9C-101B-9397-08002B2CF9AE}" pid="3" name="MSIP_Label_ab904b49-3f4d-4965-871f-2e2fd7247f94_SiteId">
    <vt:lpwstr>05088b6e-1d96-4f6b-8918-48957eca4f00</vt:lpwstr>
  </property>
  <property fmtid="{D5CDD505-2E9C-101B-9397-08002B2CF9AE}" pid="4" name="MSIP_Label_ab904b49-3f4d-4965-871f-2e2fd7247f94_Owner">
    <vt:lpwstr>cristina.ungo.velasco@cellnextelecom.com</vt:lpwstr>
  </property>
  <property fmtid="{D5CDD505-2E9C-101B-9397-08002B2CF9AE}" pid="5" name="MSIP_Label_ab904b49-3f4d-4965-871f-2e2fd7247f94_SetDate">
    <vt:lpwstr>2019-07-12T09:04:04.4070737Z</vt:lpwstr>
  </property>
  <property fmtid="{D5CDD505-2E9C-101B-9397-08002B2CF9AE}" pid="6" name="MSIP_Label_ab904b49-3f4d-4965-871f-2e2fd7247f94_Name">
    <vt:lpwstr>Internal</vt:lpwstr>
  </property>
  <property fmtid="{D5CDD505-2E9C-101B-9397-08002B2CF9AE}" pid="7" name="MSIP_Label_ab904b49-3f4d-4965-871f-2e2fd7247f94_Application">
    <vt:lpwstr>Microsoft Azure Information Protection</vt:lpwstr>
  </property>
  <property fmtid="{D5CDD505-2E9C-101B-9397-08002B2CF9AE}" pid="8" name="MSIP_Label_ab904b49-3f4d-4965-871f-2e2fd7247f94_Extended_MSFT_Method">
    <vt:lpwstr>Automatic</vt:lpwstr>
  </property>
  <property fmtid="{D5CDD505-2E9C-101B-9397-08002B2CF9AE}" pid="9" name="ContentTypeId">
    <vt:lpwstr>0x01010018B036FC29750848A53E936A35B09B18</vt:lpwstr>
  </property>
  <property fmtid="{D5CDD505-2E9C-101B-9397-08002B2CF9AE}" pid="10" name="CELLNEX_Category">
    <vt:lpwstr>1;#Templates ＆ presentations|3a76d522-399f-4119-ba05-fd67f5437f25</vt:lpwstr>
  </property>
  <property fmtid="{D5CDD505-2E9C-101B-9397-08002B2CF9AE}" pid="11" name="CELLNEX_Keywords">
    <vt:lpwstr/>
  </property>
  <property fmtid="{D5CDD505-2E9C-101B-9397-08002B2CF9AE}" pid="12" name="_docset_NoMedatataSyncRequired">
    <vt:lpwstr>False</vt:lpwstr>
  </property>
  <property fmtid="{D5CDD505-2E9C-101B-9397-08002B2CF9AE}" pid="13" name="CELLNEX_ViewType">
    <vt:lpwstr>List visualization</vt:lpwstr>
  </property>
  <property fmtid="{D5CDD505-2E9C-101B-9397-08002B2CF9AE}" pid="14" name="ClassificationContentMarkingHeaderShapeIds">
    <vt:lpwstr>1,2,3</vt:lpwstr>
  </property>
  <property fmtid="{D5CDD505-2E9C-101B-9397-08002B2CF9AE}" pid="15" name="ClassificationContentMarkingHeaderFontProps">
    <vt:lpwstr>#000000,10,Calibri</vt:lpwstr>
  </property>
  <property fmtid="{D5CDD505-2E9C-101B-9397-08002B2CF9AE}" pid="16" name="ClassificationContentMarkingHeaderText">
    <vt:lpwstr>Company INTERNAL</vt:lpwstr>
  </property>
  <property fmtid="{D5CDD505-2E9C-101B-9397-08002B2CF9AE}" pid="17" name="MSIP_Label_ba81b7f3-76d5-4bc1-abe7-45a9e5906009_Enabled">
    <vt:lpwstr>true</vt:lpwstr>
  </property>
  <property fmtid="{D5CDD505-2E9C-101B-9397-08002B2CF9AE}" pid="18" name="MSIP_Label_ba81b7f3-76d5-4bc1-abe7-45a9e5906009_SetDate">
    <vt:lpwstr>2024-02-29T09:34:06Z</vt:lpwstr>
  </property>
  <property fmtid="{D5CDD505-2E9C-101B-9397-08002B2CF9AE}" pid="19" name="MSIP_Label_ba81b7f3-76d5-4bc1-abe7-45a9e5906009_Method">
    <vt:lpwstr>Standard</vt:lpwstr>
  </property>
  <property fmtid="{D5CDD505-2E9C-101B-9397-08002B2CF9AE}" pid="20" name="MSIP_Label_ba81b7f3-76d5-4bc1-abe7-45a9e5906009_Name">
    <vt:lpwstr>Company INTERNAL</vt:lpwstr>
  </property>
  <property fmtid="{D5CDD505-2E9C-101B-9397-08002B2CF9AE}" pid="21" name="MSIP_Label_ba81b7f3-76d5-4bc1-abe7-45a9e5906009_SiteId">
    <vt:lpwstr>5d1297a0-4793-467b-b782-9ddf79faa41f</vt:lpwstr>
  </property>
  <property fmtid="{D5CDD505-2E9C-101B-9397-08002B2CF9AE}" pid="22" name="MSIP_Label_ba81b7f3-76d5-4bc1-abe7-45a9e5906009_ActionId">
    <vt:lpwstr>b52f134c-9a98-4681-b473-a86638257b25</vt:lpwstr>
  </property>
  <property fmtid="{D5CDD505-2E9C-101B-9397-08002B2CF9AE}" pid="23" name="MSIP_Label_ba81b7f3-76d5-4bc1-abe7-45a9e5906009_ContentBits">
    <vt:lpwstr>1</vt:lpwstr>
  </property>
</Properties>
</file>