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BF455" w14:textId="194F008A" w:rsidR="009752A7" w:rsidRPr="004A6B72" w:rsidRDefault="004A6B72" w:rsidP="00607918">
      <w:pPr>
        <w:spacing w:after="80" w:line="259" w:lineRule="auto"/>
        <w:jc w:val="center"/>
        <w:rPr>
          <w:rFonts w:eastAsia="MS Gothic" w:cs="Times New Roman"/>
          <w:color w:val="549A0C"/>
          <w:sz w:val="28"/>
          <w:szCs w:val="28"/>
          <w:u w:val="single"/>
          <w:lang w:val="pl-PL"/>
        </w:rPr>
      </w:pPr>
      <w:r w:rsidRPr="004A6B72">
        <w:rPr>
          <w:rFonts w:eastAsia="MS Gothic" w:cs="Times New Roman"/>
          <w:color w:val="549A0C"/>
          <w:sz w:val="28"/>
          <w:szCs w:val="28"/>
          <w:u w:val="single"/>
          <w:lang w:val="pl-PL"/>
        </w:rPr>
        <w:t xml:space="preserve">Wyniki za okres styczeń – czerwiec </w:t>
      </w:r>
      <w:r w:rsidR="009752A7" w:rsidRPr="004A6B72">
        <w:rPr>
          <w:rFonts w:eastAsia="MS Gothic" w:cs="Times New Roman"/>
          <w:color w:val="549A0C"/>
          <w:sz w:val="28"/>
          <w:szCs w:val="28"/>
          <w:u w:val="single"/>
          <w:lang w:val="pl-PL"/>
        </w:rPr>
        <w:t>2026</w:t>
      </w:r>
    </w:p>
    <w:p w14:paraId="6C42831A" w14:textId="77777777" w:rsidR="00A84171" w:rsidRPr="004A6B72" w:rsidRDefault="00A84171" w:rsidP="008F764B">
      <w:pPr>
        <w:spacing w:after="0" w:line="240" w:lineRule="auto"/>
        <w:jc w:val="center"/>
        <w:rPr>
          <w:rFonts w:eastAsia="MS Gothic" w:cs="Times New Roman"/>
          <w:b/>
          <w:bCs/>
          <w:color w:val="549A0C"/>
          <w:sz w:val="8"/>
          <w:szCs w:val="8"/>
          <w:lang w:val="pl-PL"/>
        </w:rPr>
      </w:pPr>
    </w:p>
    <w:p w14:paraId="0E7F6728" w14:textId="51F24B90" w:rsidR="0040076E" w:rsidRDefault="0011104F" w:rsidP="0040076E">
      <w:pPr>
        <w:spacing w:line="240" w:lineRule="auto"/>
        <w:jc w:val="center"/>
        <w:rPr>
          <w:rFonts w:eastAsia="MS Gothic" w:cs="Times New Roman"/>
          <w:b/>
          <w:bCs/>
          <w:color w:val="549A0C"/>
          <w:sz w:val="41"/>
          <w:szCs w:val="41"/>
          <w:lang w:val="pl-PL"/>
        </w:rPr>
      </w:pPr>
      <w:r w:rsidRPr="0011104F">
        <w:rPr>
          <w:rFonts w:eastAsia="MS Gothic" w:cs="Times New Roman"/>
          <w:b/>
          <w:bCs/>
          <w:color w:val="549A0C"/>
          <w:sz w:val="41"/>
          <w:szCs w:val="41"/>
          <w:lang w:val="pl-PL"/>
        </w:rPr>
        <w:t>Cellnex osiąga solidne wyniki w I półroczu 2026 r. – wolne przepływy pieniężne wzrosły do 301 mln EUR, a spółka zapowiada dodatkowe 200 mln EUR wypłat na rzecz akcjonariuszy w 2026 r.</w:t>
      </w:r>
      <w:r w:rsidRPr="0011104F" w:rsidDel="0011104F">
        <w:rPr>
          <w:rFonts w:eastAsia="MS Gothic" w:cs="Times New Roman"/>
          <w:b/>
          <w:bCs/>
          <w:color w:val="549A0C"/>
          <w:sz w:val="41"/>
          <w:szCs w:val="41"/>
          <w:lang w:val="pl-PL"/>
        </w:rPr>
        <w:t xml:space="preserve"> </w:t>
      </w:r>
    </w:p>
    <w:p w14:paraId="53590ECB" w14:textId="5749A74E" w:rsidR="004A6B72" w:rsidRPr="0040076E" w:rsidRDefault="004A6B72" w:rsidP="0040076E">
      <w:pPr>
        <w:pStyle w:val="ListParagraph"/>
        <w:numPr>
          <w:ilvl w:val="0"/>
          <w:numId w:val="7"/>
        </w:numPr>
        <w:spacing w:line="240" w:lineRule="auto"/>
        <w:jc w:val="left"/>
        <w:rPr>
          <w:b/>
          <w:bCs/>
          <w:color w:val="425563"/>
          <w:spacing w:val="0"/>
          <w:sz w:val="24"/>
          <w:szCs w:val="24"/>
          <w:bdr w:val="none" w:sz="0" w:space="0" w:color="auto" w:frame="1"/>
          <w:lang w:val="pl-PL"/>
        </w:rPr>
      </w:pPr>
      <w:r w:rsidRPr="0040076E">
        <w:rPr>
          <w:b/>
          <w:bCs/>
          <w:color w:val="425563"/>
          <w:spacing w:val="0"/>
          <w:sz w:val="24"/>
          <w:szCs w:val="24"/>
          <w:bdr w:val="none" w:sz="0" w:space="0" w:color="auto" w:frame="1"/>
          <w:lang w:val="pl-PL"/>
        </w:rPr>
        <w:t>Skonsolidowane przychody wykazane za ten okres wyniosły 1,994 mld EUR. W ujęciu organicznym przychody wzrosły o 5,0%, a EBITDAaL o 7,7%. Wolne przepływy pieniężne wzrosły 15-krotnie, do 301 mln EUR, w porównaniu z 19 mln EUR w pierwszym półroczu 2025 r.</w:t>
      </w:r>
    </w:p>
    <w:p w14:paraId="33255366" w14:textId="77777777" w:rsidR="00D5101E" w:rsidRPr="00585D30" w:rsidRDefault="00D5101E" w:rsidP="0040076E">
      <w:pPr>
        <w:pStyle w:val="ListParagraph"/>
        <w:ind w:left="360"/>
        <w:jc w:val="left"/>
        <w:rPr>
          <w:color w:val="425563"/>
          <w:sz w:val="22"/>
          <w:szCs w:val="22"/>
          <w:lang w:val="pl-PL"/>
        </w:rPr>
      </w:pPr>
    </w:p>
    <w:p w14:paraId="6B299AE1" w14:textId="77777777" w:rsidR="009F09EE" w:rsidRPr="009F09EE" w:rsidRDefault="009F09EE" w:rsidP="009F09EE">
      <w:pPr>
        <w:pStyle w:val="ListParagraph"/>
        <w:numPr>
          <w:ilvl w:val="0"/>
          <w:numId w:val="7"/>
        </w:numPr>
        <w:spacing w:line="240" w:lineRule="auto"/>
        <w:jc w:val="left"/>
        <w:rPr>
          <w:rFonts w:eastAsia="Calibri" w:cs="Calibri"/>
          <w:b/>
          <w:color w:val="425563"/>
          <w:spacing w:val="0"/>
          <w:sz w:val="24"/>
          <w:szCs w:val="24"/>
          <w:u w:color="70AD47"/>
          <w:bdr w:val="nil"/>
          <w:lang w:val="pl-PL"/>
        </w:rPr>
      </w:pPr>
      <w:r w:rsidRPr="009F09EE">
        <w:rPr>
          <w:rFonts w:eastAsia="Calibri" w:cs="Calibri"/>
          <w:b/>
          <w:color w:val="425563"/>
          <w:spacing w:val="0"/>
          <w:sz w:val="24"/>
          <w:szCs w:val="24"/>
          <w:u w:color="70AD47"/>
          <w:bdr w:val="nil"/>
          <w:lang w:val="pl-PL"/>
        </w:rPr>
        <w:t>Solidne wyniki operacyjne umożliwiają przeprowadzenie w 2026 r. dodatkowego skupu akcji własnych o wartości 200 mln EUR, dzięki czemu łączna kwota przeznaczona dla akcjonariuszy w tym roku wyniesie 1 mld EUR.</w:t>
      </w:r>
    </w:p>
    <w:p w14:paraId="30F241E4" w14:textId="77777777" w:rsidR="008F764B" w:rsidRPr="00585D30" w:rsidRDefault="008F764B" w:rsidP="008F764B">
      <w:pPr>
        <w:suppressAutoHyphens/>
        <w:spacing w:after="0" w:line="276" w:lineRule="auto"/>
        <w:rPr>
          <w:rFonts w:eastAsia="Calibri" w:cs="Calibri"/>
          <w:b/>
          <w:color w:val="425563"/>
          <w:spacing w:val="0"/>
          <w:sz w:val="2"/>
          <w:szCs w:val="2"/>
          <w:u w:color="70AD47"/>
          <w:bdr w:val="nil"/>
          <w:lang w:val="pl-PL"/>
        </w:rPr>
      </w:pPr>
    </w:p>
    <w:p w14:paraId="21B1A7AA" w14:textId="77777777" w:rsidR="00B5046B" w:rsidRPr="00B5046B" w:rsidRDefault="00C60244" w:rsidP="00B5046B">
      <w:pPr>
        <w:suppressAutoHyphens/>
        <w:spacing w:after="0" w:line="240" w:lineRule="auto"/>
        <w:jc w:val="center"/>
        <w:rPr>
          <w:b/>
          <w:bCs/>
          <w:color w:val="425563"/>
          <w:sz w:val="18"/>
          <w:szCs w:val="18"/>
          <w:lang w:val="en-GB"/>
        </w:rPr>
      </w:pPr>
      <w:r w:rsidRPr="00C60244">
        <w:rPr>
          <w:rFonts w:asciiTheme="minorHAnsi" w:hAnsiTheme="minorHAnsi"/>
          <w:noProof/>
          <w:sz w:val="2"/>
          <w:szCs w:val="2"/>
          <w:lang w:val="en-GB"/>
        </w:rPr>
        <mc:AlternateContent>
          <mc:Choice Requires="wps">
            <w:drawing>
              <wp:inline distT="0" distB="0" distL="0" distR="0" wp14:anchorId="7B43F09A" wp14:editId="1C0AB466">
                <wp:extent cx="5922645" cy="0"/>
                <wp:effectExtent l="0" t="0" r="0" b="0"/>
                <wp:docPr id="2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22645" cy="0"/>
                        </a:xfrm>
                        <a:prstGeom prst="line">
                          <a:avLst/>
                        </a:prstGeom>
                        <a:noFill/>
                        <a:ln w="9525">
                          <a:solidFill>
                            <a:srgbClr val="549A0C"/>
                          </a:solidFill>
                          <a:round/>
                          <a:headEnd/>
                          <a:tailEnd/>
                        </a:ln>
                        <a:extLst>
                          <a:ext uri="{909E8E84-426E-40dd-AFC4-6F175D3DCCD1}">
                            <a14:hiddenFill xmlns="" xmlns:a14="http://schemas.microsoft.com/office/drawing/2010/main" xmlns:arto="http://schemas.microsoft.com/office/word/2006/arto"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xmlns:ma14="http://schemas.microsoft.com/office/mac/drawingml/2011/main" xmlns:a16="http://schemas.microsoft.com/office/drawing/2014/main">
                              <a:noFill/>
                            </a14:hiddenFill>
                          </a:ext>
                        </a:extLst>
                      </wps:spPr>
                      <wps:bodyPr/>
                    </wps:wsp>
                  </a:graphicData>
                </a:graphic>
              </wp:inline>
            </w:drawing>
          </mc:Choice>
          <mc:Fallback>
            <w:pict>
              <v:line w14:anchorId="17396DBE" id="Line 22" o:spid="_x0000_s1026" style="flip:y;visibility:visible;mso-wrap-style:square;mso-left-percent:-10001;mso-top-percent:-10001;mso-position-horizontal:absolute;mso-position-horizontal-relative:char;mso-position-vertical:absolute;mso-position-vertical-relative:line;mso-left-percent:-10001;mso-top-percent:-10001" from="0,0" to="466.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" strokecolor="#549a0c">
                <w10:anchorlock/>
              </v:line>
            </w:pict>
          </mc:Fallback>
        </mc:AlternateContent>
      </w:r>
    </w:p>
    <w:p w14:paraId="3779E040" w14:textId="77777777" w:rsidR="00B5046B" w:rsidRPr="00B5046B" w:rsidRDefault="00B5046B" w:rsidP="00B5046B">
      <w:pPr>
        <w:suppressAutoHyphens/>
        <w:spacing w:after="0" w:line="240" w:lineRule="auto"/>
        <w:rPr>
          <w:b/>
          <w:bCs/>
          <w:color w:val="425563"/>
          <w:sz w:val="10"/>
          <w:szCs w:val="10"/>
          <w:lang w:val="en-GB"/>
        </w:rPr>
      </w:pPr>
    </w:p>
    <w:p w14:paraId="53E53232" w14:textId="77777777" w:rsidR="004A6B72" w:rsidRPr="004A6B72" w:rsidRDefault="004A6B72" w:rsidP="004A6B72">
      <w:pPr>
        <w:rPr>
          <w:b/>
          <w:bCs/>
          <w:color w:val="425563"/>
          <w:spacing w:val="-8"/>
          <w:sz w:val="22"/>
          <w:szCs w:val="22"/>
          <w:lang w:val="pl-PL"/>
        </w:rPr>
      </w:pPr>
      <w:bookmarkStart w:id="0" w:name="_Hlk190884600"/>
      <w:r w:rsidRPr="004A6B72">
        <w:rPr>
          <w:b/>
          <w:bCs/>
          <w:color w:val="425563"/>
          <w:spacing w:val="-8"/>
          <w:sz w:val="22"/>
          <w:szCs w:val="22"/>
          <w:lang w:val="pl-PL"/>
        </w:rPr>
        <w:t xml:space="preserve">Madryt, 30 lipca 2026 r. </w:t>
      </w:r>
      <w:r w:rsidRPr="004A6B72">
        <w:rPr>
          <w:color w:val="425563"/>
          <w:spacing w:val="-8"/>
          <w:sz w:val="22"/>
          <w:szCs w:val="22"/>
          <w:lang w:val="pl-PL"/>
        </w:rPr>
        <w:t xml:space="preserve">– Cellnex zakończył pierwsze półrocze 2026 r. </w:t>
      </w:r>
      <w:r w:rsidRPr="004A6B72">
        <w:rPr>
          <w:b/>
          <w:bCs/>
          <w:color w:val="425563"/>
          <w:spacing w:val="-8"/>
          <w:sz w:val="22"/>
          <w:szCs w:val="22"/>
          <w:lang w:val="pl-PL"/>
        </w:rPr>
        <w:t>solidnym wzrostem organicznym i wyraźnym przyspieszeniem generowania wolnych przepływów pieniężnych</w:t>
      </w:r>
      <w:r w:rsidRPr="004A6B72">
        <w:rPr>
          <w:color w:val="425563"/>
          <w:spacing w:val="-8"/>
          <w:sz w:val="22"/>
          <w:szCs w:val="22"/>
          <w:lang w:val="pl-PL"/>
        </w:rPr>
        <w:t>. Zarówno przychody, jak i EBITDAaL wzrosły w ujęciu organicznym dzięki silnej dynamice komercyjnej i utrzymaniu dyscypliny operacyjnej.</w:t>
      </w:r>
    </w:p>
    <w:p w14:paraId="08F48E4F" w14:textId="1D280807" w:rsidR="004A6B72" w:rsidRPr="004A6B72" w:rsidRDefault="004A6B72" w:rsidP="004A6B72">
      <w:pPr>
        <w:spacing w:after="120" w:line="256" w:lineRule="auto"/>
        <w:rPr>
          <w:sz w:val="22"/>
          <w:szCs w:val="22"/>
          <w:lang w:val="pl-PL"/>
        </w:rPr>
      </w:pPr>
      <w:r w:rsidRPr="004A6B72">
        <w:rPr>
          <w:sz w:val="22"/>
          <w:szCs w:val="22"/>
          <w:lang w:val="pl-PL"/>
        </w:rPr>
        <w:t>W ujęciu organicznym pro forma</w:t>
      </w:r>
      <w:r w:rsidR="002D6309">
        <w:rPr>
          <w:rStyle w:val="FootnoteReference"/>
          <w:sz w:val="22"/>
          <w:szCs w:val="22"/>
          <w:lang w:val="pl-PL"/>
        </w:rPr>
        <w:footnoteReference w:id="2"/>
      </w:r>
      <w:r w:rsidRPr="004A6B72">
        <w:rPr>
          <w:sz w:val="22"/>
          <w:szCs w:val="22"/>
          <w:lang w:val="pl-PL"/>
        </w:rPr>
        <w:t xml:space="preserve"> </w:t>
      </w:r>
      <w:r w:rsidRPr="004A6B72">
        <w:rPr>
          <w:b/>
          <w:bCs/>
          <w:sz w:val="22"/>
          <w:szCs w:val="22"/>
          <w:lang w:val="pl-PL"/>
        </w:rPr>
        <w:t>przychody wzrosły o 5,0% rok do roku. Skorygowana EBITDA zwiększyła się o 6,4%, EBITDAaL o 7,7%, RLFCF o 11,0%, a RLFCF na akcję o 18,1%.</w:t>
      </w:r>
      <w:r w:rsidRPr="004A6B72">
        <w:rPr>
          <w:sz w:val="22"/>
          <w:szCs w:val="22"/>
          <w:lang w:val="pl-PL"/>
        </w:rPr>
        <w:t xml:space="preserve"> Wyniki te odzwierciedlają działania zwiększające efektywność operacyjną, aktywne zarządzanie umowami najmu oraz optymalizację struktury kapitałowej.</w:t>
      </w:r>
    </w:p>
    <w:p w14:paraId="05131DE6" w14:textId="77777777" w:rsidR="004A6B72" w:rsidRPr="004A6B72" w:rsidRDefault="004A6B72" w:rsidP="004A6B72">
      <w:pPr>
        <w:spacing w:after="120" w:line="254" w:lineRule="auto"/>
        <w:rPr>
          <w:sz w:val="22"/>
          <w:szCs w:val="22"/>
          <w:lang w:val="pl-PL"/>
        </w:rPr>
      </w:pPr>
      <w:r w:rsidRPr="004A6B72">
        <w:rPr>
          <w:b/>
          <w:bCs/>
          <w:sz w:val="22"/>
          <w:szCs w:val="22"/>
          <w:lang w:val="pl-PL"/>
        </w:rPr>
        <w:t>Skonsolidowane przychody wykazane za pierwsze półrocze 2026 r. wyniosły 1,994 mld EUR, co było rezultatem trwałego wzrostu we wszystkich obszarach działalności.</w:t>
      </w:r>
      <w:r w:rsidRPr="004A6B72">
        <w:rPr>
          <w:sz w:val="22"/>
          <w:szCs w:val="22"/>
          <w:lang w:val="pl-PL"/>
        </w:rPr>
        <w:t xml:space="preserve"> Segment infrastruktury wieżowej pozostał głównym motorem wzrostu Grupy, osiągając przychody w wysokości 1,625 mld EUR i wzrost organiczny na poziomie 5,2%. Przychody z usług światłowodowych, łączności i hostingu wzrosły o 7,8%, z usług DAS, Small Cells i RANaaS – o 4,5%, a z transmisji radiowej i telewizyjnej – o 0,5%.</w:t>
      </w:r>
    </w:p>
    <w:p w14:paraId="0315A325" w14:textId="77777777" w:rsidR="004A6B72" w:rsidRPr="004A6B72" w:rsidRDefault="004A6B72" w:rsidP="004A6B72">
      <w:pPr>
        <w:spacing w:after="200"/>
        <w:rPr>
          <w:sz w:val="22"/>
          <w:szCs w:val="22"/>
          <w:lang w:val="pl-PL"/>
        </w:rPr>
      </w:pPr>
      <w:r w:rsidRPr="004A6B72">
        <w:rPr>
          <w:b/>
          <w:bCs/>
          <w:sz w:val="22"/>
          <w:szCs w:val="22"/>
          <w:lang w:val="pl-PL"/>
        </w:rPr>
        <w:t xml:space="preserve">EBITDA po uwzględnieniu kosztów leasingu wyniosła 1,231 mld EUR, natomiast powtarzalne lewarowane wolne przepływy pieniężne (RLFCF) osiągnęły 908 mln EUR. Wolne przepływy pieniężne wzrosły do 301 mln EUR w porównaniu z 19 mln EUR w pierwszym półroczu 2025 r., </w:t>
      </w:r>
      <w:r w:rsidRPr="004A6B72">
        <w:rPr>
          <w:sz w:val="22"/>
          <w:szCs w:val="22"/>
          <w:lang w:val="pl-PL"/>
        </w:rPr>
        <w:t>co odzwierciedla solidne generowanie RLFCF oraz niższą kapitałochłonność inwestycji BTS.</w:t>
      </w:r>
    </w:p>
    <w:p w14:paraId="180DCD73" w14:textId="0AF4D100" w:rsidR="004A6B72" w:rsidRDefault="004A6B72" w:rsidP="008F764B">
      <w:pPr>
        <w:spacing w:after="200"/>
        <w:rPr>
          <w:i/>
          <w:iCs/>
          <w:sz w:val="22"/>
          <w:szCs w:val="22"/>
          <w:lang w:val="pl-PL"/>
        </w:rPr>
      </w:pPr>
      <w:r w:rsidRPr="004A6B72">
        <w:rPr>
          <w:i/>
          <w:iCs/>
          <w:sz w:val="22"/>
          <w:szCs w:val="22"/>
          <w:lang w:val="pl-PL"/>
        </w:rPr>
        <w:t>„Pierwsze półrocze 2026 r. potwierdza siłę przemysłowego modelu Cellnex, charakteryzującego się trwałym wzrostem organicznym, poprawą dźwigni operacyjnej oraz wyraźnym przyspieszeniem generowania wolnych przepływów pieniężnych. Nadal konsekwentnie realizujemy naszą strategię, umacniając pozycję zaufanego partnera infrastrukturalnego dla klientów i jednocześnie tworząc wartość dla akcjonariuszy</w:t>
      </w:r>
      <w:r w:rsidR="0008615D">
        <w:rPr>
          <w:i/>
          <w:iCs/>
          <w:sz w:val="22"/>
          <w:szCs w:val="22"/>
          <w:lang w:val="pl-PL"/>
        </w:rPr>
        <w:t xml:space="preserve">, </w:t>
      </w:r>
      <w:r w:rsidR="0008615D" w:rsidRPr="0008615D">
        <w:rPr>
          <w:i/>
          <w:iCs/>
          <w:sz w:val="22"/>
          <w:szCs w:val="22"/>
          <w:lang w:val="pl-PL"/>
        </w:rPr>
        <w:t>czego kolejnym potwierdzeniem jest ogłoszenie dodatkowego programu skupu akcji własnych o wartości 200 mln EUR</w:t>
      </w:r>
      <w:r w:rsidRPr="004A6B72">
        <w:rPr>
          <w:i/>
          <w:iCs/>
          <w:sz w:val="22"/>
          <w:szCs w:val="22"/>
          <w:lang w:val="pl-PL"/>
        </w:rPr>
        <w:t xml:space="preserve">” </w:t>
      </w:r>
      <w:r w:rsidRPr="004A6B72">
        <w:rPr>
          <w:sz w:val="22"/>
          <w:szCs w:val="22"/>
          <w:lang w:val="pl-PL"/>
        </w:rPr>
        <w:t>– powiedział Marco Patuano, CEO Cellnex.</w:t>
      </w:r>
      <w:r w:rsidRPr="004A6B72">
        <w:rPr>
          <w:i/>
          <w:iCs/>
          <w:sz w:val="22"/>
          <w:szCs w:val="22"/>
          <w:lang w:val="pl-PL"/>
        </w:rPr>
        <w:t xml:space="preserve"> </w:t>
      </w:r>
    </w:p>
    <w:p w14:paraId="366E45C9" w14:textId="08910F4B" w:rsidR="004A6B72" w:rsidRDefault="004A6B72" w:rsidP="00D47CB9">
      <w:pPr>
        <w:spacing w:before="200" w:after="120"/>
        <w:rPr>
          <w:i/>
          <w:iCs/>
          <w:sz w:val="22"/>
          <w:szCs w:val="22"/>
          <w:lang w:val="pl-PL"/>
        </w:rPr>
      </w:pPr>
      <w:r w:rsidRPr="004A6B72">
        <w:rPr>
          <w:i/>
          <w:iCs/>
          <w:sz w:val="22"/>
          <w:szCs w:val="22"/>
          <w:lang w:val="pl-PL"/>
        </w:rPr>
        <w:lastRenderedPageBreak/>
        <w:t>„Nasze długoterminowe partnerstwa strategiczne, inicjatywy na rzecz efektywności operacyjnej oraz aktywna alokacja kapitału umożliwiają Cellnex łączenie przewidywalnego, powtarzalnego wzrostu z bardziej efektywnym profilem finansowym. Dzięki temu Grupa może nadal realizować swój strategiczny plan działania”</w:t>
      </w:r>
      <w:r>
        <w:rPr>
          <w:i/>
          <w:iCs/>
          <w:sz w:val="22"/>
          <w:szCs w:val="22"/>
          <w:lang w:val="pl-PL"/>
        </w:rPr>
        <w:t xml:space="preserve"> </w:t>
      </w:r>
      <w:r w:rsidRPr="004A6B72">
        <w:rPr>
          <w:sz w:val="22"/>
          <w:szCs w:val="22"/>
          <w:lang w:val="pl-PL"/>
        </w:rPr>
        <w:t>– dodał.</w:t>
      </w:r>
      <w:r>
        <w:rPr>
          <w:i/>
          <w:iCs/>
          <w:sz w:val="22"/>
          <w:szCs w:val="22"/>
          <w:lang w:val="pl-PL"/>
        </w:rPr>
        <w:t xml:space="preserve"> </w:t>
      </w:r>
    </w:p>
    <w:p w14:paraId="2F4F63D8" w14:textId="77777777" w:rsidR="004A6B72" w:rsidRPr="00585D30" w:rsidRDefault="004A6B72">
      <w:pPr>
        <w:spacing w:after="200"/>
        <w:rPr>
          <w:b/>
          <w:color w:val="549A0C"/>
          <w:sz w:val="24"/>
          <w:szCs w:val="24"/>
          <w:lang w:val="pl-PL"/>
        </w:rPr>
      </w:pPr>
      <w:r w:rsidRPr="00585D30">
        <w:rPr>
          <w:b/>
          <w:color w:val="549A0C"/>
          <w:sz w:val="24"/>
          <w:szCs w:val="24"/>
          <w:lang w:val="pl-PL"/>
        </w:rPr>
        <w:t>Dynamika komercyjna wspiera wzrost organiczny</w:t>
      </w:r>
    </w:p>
    <w:p w14:paraId="5AAC4405" w14:textId="06B74792" w:rsidR="004A6B72" w:rsidRPr="004A6B72" w:rsidRDefault="004A6B72" w:rsidP="004A6B72">
      <w:pPr>
        <w:spacing w:after="200"/>
        <w:rPr>
          <w:sz w:val="22"/>
          <w:szCs w:val="22"/>
          <w:lang w:val="pl-PL"/>
        </w:rPr>
      </w:pPr>
      <w:r w:rsidRPr="004A6B72">
        <w:rPr>
          <w:sz w:val="22"/>
          <w:szCs w:val="22"/>
          <w:lang w:val="pl-PL"/>
        </w:rPr>
        <w:t xml:space="preserve">Organiczny wzrost liczby </w:t>
      </w:r>
      <w:r w:rsidRPr="004A6B72">
        <w:rPr>
          <w:b/>
          <w:bCs/>
          <w:sz w:val="22"/>
          <w:szCs w:val="22"/>
          <w:lang w:val="pl-PL"/>
        </w:rPr>
        <w:t>punktów obecności (PoP)</w:t>
      </w:r>
      <w:r w:rsidRPr="004A6B72">
        <w:rPr>
          <w:sz w:val="22"/>
          <w:szCs w:val="22"/>
          <w:lang w:val="pl-PL"/>
        </w:rPr>
        <w:t xml:space="preserve"> wyniósł 4,9% rok do roku, </w:t>
      </w:r>
      <w:r w:rsidRPr="004A6B72">
        <w:rPr>
          <w:b/>
          <w:bCs/>
          <w:sz w:val="22"/>
          <w:szCs w:val="22"/>
          <w:lang w:val="pl-PL"/>
        </w:rPr>
        <w:t>odzwierciedlając utrzymujący się popyt na zagęszczanie sieci na rynkach, na których działa Cellnex.</w:t>
      </w:r>
      <w:r w:rsidRPr="004A6B72">
        <w:rPr>
          <w:sz w:val="22"/>
          <w:szCs w:val="22"/>
          <w:lang w:val="pl-PL"/>
        </w:rPr>
        <w:t xml:space="preserve"> Wzrost liczby PoP brutto wyniósł 5,7% – w tym 3,6% dzięki kolokacjom brutto oraz 1,8% dzięki realizacji projektów BTS. Odpływ </w:t>
      </w:r>
      <w:r w:rsidR="0066565D">
        <w:rPr>
          <w:sz w:val="22"/>
          <w:szCs w:val="22"/>
          <w:lang w:val="pl-PL"/>
        </w:rPr>
        <w:t xml:space="preserve">klientów </w:t>
      </w:r>
      <w:r w:rsidRPr="004A6B72">
        <w:rPr>
          <w:sz w:val="22"/>
          <w:szCs w:val="22"/>
          <w:lang w:val="pl-PL"/>
        </w:rPr>
        <w:t>ograniczono do -0,6%, a współczynnik najmu nadal wzrastał, osiągając poziom 1,63x. Umacnia to jeden z kluczowych wskaźników wykorzystania aktywów i dynamiki komercyjnej.</w:t>
      </w:r>
    </w:p>
    <w:p w14:paraId="30FB49AF" w14:textId="77777777" w:rsidR="004A6B72" w:rsidRPr="004A6B72" w:rsidRDefault="004A6B72" w:rsidP="004A6B72">
      <w:pPr>
        <w:spacing w:before="200" w:after="120"/>
        <w:rPr>
          <w:b/>
          <w:bCs/>
          <w:sz w:val="22"/>
          <w:szCs w:val="22"/>
          <w:lang w:val="pl-PL"/>
        </w:rPr>
      </w:pPr>
      <w:r w:rsidRPr="004A6B72">
        <w:rPr>
          <w:sz w:val="22"/>
          <w:szCs w:val="22"/>
          <w:lang w:val="pl-PL"/>
        </w:rPr>
        <w:t xml:space="preserve">W Hiszpanii </w:t>
      </w:r>
      <w:r w:rsidRPr="004A6B72">
        <w:rPr>
          <w:b/>
          <w:bCs/>
          <w:sz w:val="22"/>
          <w:szCs w:val="22"/>
          <w:lang w:val="pl-PL"/>
        </w:rPr>
        <w:t xml:space="preserve">Cellnex przedłużył o kolejne dziesięć lat umowę ramową z Vodafone </w:t>
      </w:r>
      <w:r w:rsidRPr="004A6B72">
        <w:rPr>
          <w:sz w:val="22"/>
          <w:szCs w:val="22"/>
          <w:lang w:val="pl-PL"/>
        </w:rPr>
        <w:t xml:space="preserve">Spain. Umowa obejmuje około </w:t>
      </w:r>
      <w:r w:rsidRPr="004A6B72">
        <w:rPr>
          <w:b/>
          <w:bCs/>
          <w:sz w:val="22"/>
          <w:szCs w:val="22"/>
          <w:lang w:val="pl-PL"/>
        </w:rPr>
        <w:t>2 000 istniejących punktów PoP i zachowuje dotychczasowe warunki techniczne oraz finansowe.</w:t>
      </w:r>
    </w:p>
    <w:p w14:paraId="20EC8878" w14:textId="1C36F4E9" w:rsidR="004A6B72" w:rsidRPr="004A6B72" w:rsidRDefault="004A6B72" w:rsidP="004A6B72">
      <w:pPr>
        <w:spacing w:before="200" w:after="120"/>
        <w:rPr>
          <w:sz w:val="22"/>
          <w:szCs w:val="22"/>
          <w:lang w:val="pl-PL"/>
        </w:rPr>
      </w:pPr>
      <w:r w:rsidRPr="004A6B72">
        <w:rPr>
          <w:sz w:val="22"/>
          <w:szCs w:val="22"/>
          <w:lang w:val="pl-PL"/>
        </w:rPr>
        <w:t xml:space="preserve">W Szwajcarii </w:t>
      </w:r>
      <w:r w:rsidRPr="004A6B72">
        <w:rPr>
          <w:b/>
          <w:bCs/>
          <w:sz w:val="22"/>
          <w:szCs w:val="22"/>
          <w:lang w:val="pl-PL"/>
        </w:rPr>
        <w:t>Cellnex rozszerzył współpracę z Sunrise poprzez nowy program Build-to-Suit,</w:t>
      </w:r>
      <w:r w:rsidRPr="004A6B72">
        <w:rPr>
          <w:sz w:val="22"/>
          <w:szCs w:val="22"/>
          <w:lang w:val="pl-PL"/>
        </w:rPr>
        <w:t xml:space="preserve"> obejmujący 300 dodatkowych lokalizacji. Realizacja programu ma rozpocząć się w styczniu 2027 r. i potrwać pięć lat. Umowa dodatkowo wzmacnia długoterminową relację wynikającą z pierwotnej umowy MSA, zawartej początkowo na 20 lat z możliwością dwukrotnego przedłużenia o 10 lat</w:t>
      </w:r>
      <w:r w:rsidR="002167AA" w:rsidRPr="002167AA">
        <w:rPr>
          <w:sz w:val="22"/>
          <w:szCs w:val="22"/>
          <w:lang w:val="pl-PL"/>
        </w:rPr>
        <w:t>, a następnie na czas nieokreślony</w:t>
      </w:r>
      <w:r w:rsidRPr="004A6B72">
        <w:rPr>
          <w:sz w:val="22"/>
          <w:szCs w:val="22"/>
          <w:lang w:val="pl-PL"/>
        </w:rPr>
        <w:t>.</w:t>
      </w:r>
    </w:p>
    <w:p w14:paraId="65618727" w14:textId="77777777" w:rsidR="004A6B72" w:rsidRPr="004A6B72" w:rsidRDefault="004A6B72" w:rsidP="004A6B72">
      <w:pPr>
        <w:spacing w:after="200"/>
        <w:rPr>
          <w:sz w:val="22"/>
          <w:szCs w:val="22"/>
          <w:lang w:val="pl-PL"/>
        </w:rPr>
      </w:pPr>
      <w:r w:rsidRPr="004A6B72">
        <w:rPr>
          <w:sz w:val="22"/>
          <w:szCs w:val="22"/>
          <w:lang w:val="pl-PL"/>
        </w:rPr>
        <w:t xml:space="preserve">Spółka rozszerzyła również współpracę z Telefónicą poprzez rozwój programu odporności energetycznej, zwiększającego ciągłość i niezawodność sieci telekomunikacyjnych w Hiszpanii. Przewiduje się, że umowa, której okres obowiązywania odpowiada okresom umów dotyczących lokalizacji bazowych, obejmie do </w:t>
      </w:r>
      <w:r w:rsidRPr="004A6B72">
        <w:rPr>
          <w:b/>
          <w:bCs/>
          <w:sz w:val="22"/>
          <w:szCs w:val="22"/>
          <w:lang w:val="pl-PL"/>
        </w:rPr>
        <w:t>3 800 obiektów.</w:t>
      </w:r>
      <w:r w:rsidRPr="004A6B72">
        <w:rPr>
          <w:sz w:val="22"/>
          <w:szCs w:val="22"/>
          <w:lang w:val="pl-PL"/>
        </w:rPr>
        <w:t xml:space="preserve"> Stanowi ona kontynuację pierwszej tego rodzaju inicjatywy w Hiszpanii, ogłoszonej w styczniu 2026 r. i już zakończonej, w ramach której zainstalowano baterie w ponad </w:t>
      </w:r>
      <w:r w:rsidRPr="004A6B72">
        <w:rPr>
          <w:b/>
          <w:bCs/>
          <w:sz w:val="22"/>
          <w:szCs w:val="22"/>
          <w:lang w:val="pl-PL"/>
        </w:rPr>
        <w:t>2 000 lokalizacji.</w:t>
      </w:r>
      <w:r w:rsidRPr="004A6B72">
        <w:rPr>
          <w:sz w:val="22"/>
          <w:szCs w:val="22"/>
          <w:lang w:val="pl-PL"/>
        </w:rPr>
        <w:t xml:space="preserve"> Dzięki tej nowej fazie Cellnex i Telefónica z wyprzedzeniem dostosowują się do przyszłego dekretu królewskiego dotyczącego odporności sieci łączności. Po zakończeniu drugiego etapu wdrożenia, planowanego na czerwiec 2027 r., we wszystkich objętych programem lokalizacjach zagwarantowane zostaną co najmniej dwie godziny autonomicznego działania. Podobne możliwości są omawiane z innymi operatorami sieci komórkowych (MNO) w pozostałych krajach.</w:t>
      </w:r>
    </w:p>
    <w:p w14:paraId="3C3D877F" w14:textId="77777777" w:rsidR="004A6B72" w:rsidRPr="004A6B72" w:rsidRDefault="004A6B72" w:rsidP="004A6B72">
      <w:pPr>
        <w:spacing w:after="200"/>
        <w:rPr>
          <w:sz w:val="22"/>
          <w:szCs w:val="22"/>
          <w:lang w:val="pl-PL"/>
        </w:rPr>
      </w:pPr>
      <w:r w:rsidRPr="004A6B72">
        <w:rPr>
          <w:sz w:val="22"/>
          <w:szCs w:val="22"/>
          <w:lang w:val="pl-PL"/>
        </w:rPr>
        <w:t>Przedłużenie tych umów potwierdza zdolność Cellnex do utrzymywania i rozwijania długoterminowych relacji z klientami przy jednoczesnym dostosowywaniu się do zmieniających się uwarunkowań branżowych. Oceniając nowe możliwości biznesowe, Cellnex stosuje zdyscyplinowane podejście do alokacji kapitału, koncentrując się na tworzeniu wartości, stopach zwrotu na poziomie poszczególnych projektów oraz wkładzie w przepływy pieniężne w całym okresie obowiązywania każdej umowy. W stosownych przypadkach analiza obejmuje również nielewarowaną, podatkową wewnętrzną stopę zwrotu projektu (IRR).</w:t>
      </w:r>
    </w:p>
    <w:p w14:paraId="4FB7AD5E" w14:textId="77777777" w:rsidR="004A6B72" w:rsidRPr="004A6B72" w:rsidRDefault="004A6B72" w:rsidP="004A6B72">
      <w:pPr>
        <w:spacing w:before="300" w:after="150"/>
        <w:rPr>
          <w:b/>
          <w:bCs/>
          <w:color w:val="549A0C"/>
          <w:sz w:val="24"/>
          <w:szCs w:val="24"/>
          <w:lang w:val="pl-PL"/>
        </w:rPr>
      </w:pPr>
      <w:r w:rsidRPr="004A6B72">
        <w:rPr>
          <w:b/>
          <w:bCs/>
          <w:color w:val="549A0C"/>
          <w:sz w:val="24"/>
          <w:szCs w:val="24"/>
          <w:lang w:val="pl-PL"/>
        </w:rPr>
        <w:t>Strukturalny popyt na infrastrukturę cyfrową pozostaje niezmieniony</w:t>
      </w:r>
    </w:p>
    <w:p w14:paraId="6DF23E93" w14:textId="77777777" w:rsidR="004A6B72" w:rsidRDefault="004A6B72" w:rsidP="004A6B72">
      <w:pPr>
        <w:spacing w:before="300" w:after="150"/>
        <w:rPr>
          <w:sz w:val="22"/>
          <w:szCs w:val="22"/>
          <w:lang w:val="pl-PL"/>
        </w:rPr>
      </w:pPr>
      <w:r w:rsidRPr="004A6B72">
        <w:rPr>
          <w:sz w:val="22"/>
          <w:szCs w:val="22"/>
          <w:lang w:val="pl-PL"/>
        </w:rPr>
        <w:t>Utrzymujący się wzrost zapotrzebowania na łączność mobilną zwiększa w Europie potrzebę zagęszczania sieci oraz wzmacniania ich odporności i przepustowości.</w:t>
      </w:r>
    </w:p>
    <w:p w14:paraId="098D225B" w14:textId="22980277" w:rsidR="004A6B72" w:rsidRPr="004A6B72" w:rsidRDefault="01E15EBD" w:rsidP="004A6B72">
      <w:pPr>
        <w:spacing w:before="300" w:after="150"/>
        <w:rPr>
          <w:sz w:val="22"/>
          <w:szCs w:val="22"/>
          <w:lang w:val="pl-PL"/>
        </w:rPr>
      </w:pPr>
      <w:r w:rsidRPr="3A8D1FF1">
        <w:rPr>
          <w:sz w:val="22"/>
          <w:szCs w:val="22"/>
          <w:lang w:val="pl-PL"/>
        </w:rPr>
        <w:t>Jak pokazano na poniższym wykresie, od 2020 r. wzrost wykorzystania danych mobilnych rok do roku jest stałym, długoterminowym trendem w całej Europie, co potwierdza utrzymującą się dynamikę popytu na łączność. Między pierwszym kwartałem 2025 r. a pierwszym kwartałem 2026 r. ruch danych mobilnych wzrósł o 22%.</w:t>
      </w:r>
    </w:p>
    <w:p w14:paraId="5EAC25DA" w14:textId="3D0AFE26" w:rsidR="00124685" w:rsidRPr="00AF07D5" w:rsidRDefault="00AF07D5" w:rsidP="3A8D1FF1">
      <w:pPr>
        <w:spacing w:after="200"/>
        <w:rPr>
          <w:lang w:val="pl-PL"/>
        </w:rPr>
      </w:pPr>
      <w:r>
        <w:rPr>
          <w:noProof/>
        </w:rPr>
        <w:lastRenderedPageBreak/>
        <w:drawing>
          <wp:anchor distT="0" distB="0" distL="114300" distR="114300" simplePos="0" relativeHeight="251651584" behindDoc="0" locked="0" layoutInCell="1" allowOverlap="1" wp14:anchorId="274C6B27" wp14:editId="7C128C5C">
            <wp:simplePos x="0" y="0"/>
            <wp:positionH relativeFrom="column">
              <wp:posOffset>1039495</wp:posOffset>
            </wp:positionH>
            <wp:positionV relativeFrom="paragraph">
              <wp:posOffset>396875</wp:posOffset>
            </wp:positionV>
            <wp:extent cx="3999865" cy="2442845"/>
            <wp:effectExtent l="38100" t="38100" r="95885" b="90805"/>
            <wp:wrapTopAndBottom/>
            <wp:docPr id="1209627499" name="Picture 5">
              <a:extLst xmlns:a="http://schemas.openxmlformats.org/drawingml/2006/main">
                <a:ext uri="{FF2B5EF4-FFF2-40B4-BE49-F238E27FC236}">
                  <a16:creationId xmlns:a16="http://schemas.microsoft.com/office/drawing/2014/main" id="{F2858802-B251-7AC5-891A-BE0D07D9AD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2858802-B251-7AC5-891A-BE0D07D9AD12}"/>
                        </a:ext>
                      </a:extLst>
                    </pic:cNvPr>
                    <pic:cNvPicPr>
                      <a:picLocks noChangeAspect="1"/>
                    </pic:cNvPicPr>
                  </pic:nvPicPr>
                  <pic:blipFill>
                    <a:blip r:embed="rId11"/>
                    <a:srcRect l="1536" t="9772" r="5698" b="5276"/>
                    <a:stretch>
                      <a:fillRect/>
                    </a:stretch>
                  </pic:blipFill>
                  <pic:spPr>
                    <a:xfrm>
                      <a:off x="0" y="0"/>
                      <a:ext cx="3999865" cy="2442845"/>
                    </a:xfrm>
                    <a:prstGeom prst="rect">
                      <a:avLst/>
                    </a:prstGeom>
                    <a:effectLst>
                      <a:outerShdw blurRad="50800" dist="38100" dir="2700000" algn="tl" rotWithShape="0">
                        <a:prstClr val="black">
                          <a:alpha val="40000"/>
                        </a:prstClr>
                      </a:outerShdw>
                    </a:effectLst>
                  </pic:spPr>
                </pic:pic>
              </a:graphicData>
            </a:graphic>
          </wp:anchor>
        </w:drawing>
      </w:r>
    </w:p>
    <w:p w14:paraId="370B8D61" w14:textId="562AA50E" w:rsidR="00124685" w:rsidRPr="00124685" w:rsidRDefault="6998CC5A" w:rsidP="3A8D1FF1">
      <w:pPr>
        <w:spacing w:after="200"/>
        <w:rPr>
          <w:sz w:val="22"/>
          <w:szCs w:val="22"/>
          <w:lang w:val="pl-PL"/>
        </w:rPr>
      </w:pPr>
      <w:r w:rsidRPr="3A8D1FF1">
        <w:rPr>
          <w:sz w:val="22"/>
          <w:szCs w:val="22"/>
          <w:lang w:val="pl-PL"/>
        </w:rPr>
        <w:t>Wyniki operacyjne Cellnex w pierwszym półroczu 2026 r. również odzwierciedlają ten strukturalny trend. Organiczny wzrost liczby punktów obecności wyniósł 4,9% rok do roku, przy wsparciu ze strony kolokacji brutto i realizacji projektów Build-to-Suit. Wskaźniki te potwierdzają trwałe znaczenie współdzielonej infrastruktury we wspieraniu operatorów sieci komórkowych w zaspokajaniu rosnącego zapotrzebowania na transmisję danych oraz poprawie jakości i efektywności sieci.</w:t>
      </w:r>
    </w:p>
    <w:p w14:paraId="0864BA84" w14:textId="1A4C32E3" w:rsidR="00124685" w:rsidRPr="00124685" w:rsidRDefault="00124685" w:rsidP="00124685">
      <w:pPr>
        <w:spacing w:after="200"/>
        <w:rPr>
          <w:sz w:val="22"/>
          <w:szCs w:val="22"/>
          <w:lang w:val="pl-PL"/>
        </w:rPr>
      </w:pPr>
      <w:r w:rsidRPr="00124685">
        <w:rPr>
          <w:sz w:val="22"/>
          <w:szCs w:val="22"/>
          <w:lang w:val="pl-PL"/>
        </w:rPr>
        <w:t xml:space="preserve">Szacuje się, że w latach 2026–2036 Europa będzie potrzebować około </w:t>
      </w:r>
      <w:r w:rsidRPr="00124685">
        <w:rPr>
          <w:b/>
          <w:bCs/>
          <w:sz w:val="22"/>
          <w:szCs w:val="22"/>
          <w:lang w:val="pl-PL"/>
        </w:rPr>
        <w:t xml:space="preserve">475 mld EUR inwestycji w sieci komórkowe, </w:t>
      </w:r>
      <w:r w:rsidRPr="00124685">
        <w:rPr>
          <w:sz w:val="22"/>
          <w:szCs w:val="22"/>
          <w:lang w:val="pl-PL"/>
        </w:rPr>
        <w:t>aby zapewnić pełny zasięg 5G, zagęszczenie i odporność sieci oraz infrastrukturę przystosowaną do obsługi sztucznej inteligencji. Cellnex uważa, że te czynniki strukturalne wzmacniają rolę spółki jako kluczowego partnera infrastrukturalnego w realizacji krajowych i europejskich celów w zakresie łączności.</w:t>
      </w:r>
    </w:p>
    <w:p w14:paraId="0DBEDF17" w14:textId="369F5FE0" w:rsidR="00124685" w:rsidRDefault="00124685" w:rsidP="00124685">
      <w:pPr>
        <w:rPr>
          <w:sz w:val="22"/>
          <w:szCs w:val="22"/>
          <w:lang w:val="pl-PL"/>
        </w:rPr>
      </w:pPr>
      <w:r w:rsidRPr="00124685">
        <w:rPr>
          <w:sz w:val="22"/>
          <w:szCs w:val="22"/>
          <w:lang w:val="pl-PL"/>
        </w:rPr>
        <w:t>Na podstawie przeprowadzonej analizy technicznej, obejmującej m.in. dostępność widma, Cellnex przewiduje, że satelitarne rozwiązania typu direct-to-device będą uzupełniać, a nie zastępować sieci naziemne. Satelity mogą zwiększać zasięg na obszarach oddalonych, nie są jednak w stanie dorównać infrastrukturze naziemnej pod względem szybkości, przepustowości, zasięgu wewnątrz budynków i niezawodności. Infrastruktura naziemna pozostanie zatem podstawową warstwą zapewniającą przepustowość niezbędną do obsługi przyszłego wzrostu ruchu.</w:t>
      </w:r>
    </w:p>
    <w:p w14:paraId="6E2A6C7A" w14:textId="08C213D1" w:rsidR="00124685" w:rsidRPr="00124685" w:rsidRDefault="00124685" w:rsidP="00124685">
      <w:pPr>
        <w:rPr>
          <w:sz w:val="22"/>
          <w:szCs w:val="22"/>
          <w:lang w:val="pl-PL"/>
        </w:rPr>
      </w:pPr>
      <w:r w:rsidRPr="00124685">
        <w:rPr>
          <w:i/>
          <w:iCs/>
          <w:sz w:val="22"/>
          <w:szCs w:val="22"/>
          <w:lang w:val="pl-PL"/>
        </w:rPr>
        <w:t>„Cellnex ma bardzo dobrą pozycję, aby wspierać operatorów sieci komórkowych w zaspokajaniu rosnących potrzeb w zakresie łączności, zwiększaniu odporności sieci i umożliwianiu kolejnego etapu cyfrowej transformacji Europy. Postępujący rozwój technologiczny postrzegamy jako katalizator wzrostu, tworzący nowe możliwości dla infrastruktury łączności. Nasze wyniki pokazują, że Cellnex niezmiennie osiąga stabilne rezultaty, pomagając operatorom sieci komórkowych dostosowywać się do zmieniających się wymagań sieciowych”</w:t>
      </w:r>
      <w:r w:rsidRPr="00124685">
        <w:rPr>
          <w:sz w:val="22"/>
          <w:szCs w:val="22"/>
          <w:lang w:val="pl-PL"/>
        </w:rPr>
        <w:t xml:space="preserve"> – powiedział Marco Patuano.</w:t>
      </w:r>
    </w:p>
    <w:p w14:paraId="5195DB45" w14:textId="77777777" w:rsidR="00124685" w:rsidRPr="00124685" w:rsidRDefault="00124685" w:rsidP="00124685">
      <w:pPr>
        <w:spacing w:before="300" w:after="150"/>
        <w:rPr>
          <w:b/>
          <w:bCs/>
          <w:color w:val="549A0C"/>
          <w:sz w:val="24"/>
          <w:szCs w:val="24"/>
          <w:lang w:val="pl-PL"/>
        </w:rPr>
      </w:pPr>
      <w:r w:rsidRPr="00124685">
        <w:rPr>
          <w:b/>
          <w:bCs/>
          <w:color w:val="549A0C"/>
          <w:sz w:val="24"/>
          <w:szCs w:val="24"/>
          <w:lang w:val="pl-PL"/>
        </w:rPr>
        <w:t>Efektywność operacyjna przyspiesza wzrost wolnych przepływów pieniężnych</w:t>
      </w:r>
    </w:p>
    <w:p w14:paraId="0CE718FD" w14:textId="77777777" w:rsidR="00124685" w:rsidRPr="00124685" w:rsidRDefault="00124685" w:rsidP="00124685">
      <w:pPr>
        <w:spacing w:after="200"/>
        <w:rPr>
          <w:sz w:val="22"/>
          <w:szCs w:val="22"/>
          <w:lang w:val="pl-PL"/>
        </w:rPr>
      </w:pPr>
      <w:r w:rsidRPr="00124685">
        <w:rPr>
          <w:sz w:val="22"/>
          <w:szCs w:val="22"/>
          <w:lang w:val="pl-PL"/>
        </w:rPr>
        <w:t>Efektywność operacyjna pozostała kluczowym czynnikiem wzrostu marż, wspieranym przez centralizację zakupów, optymalizację bazy dostawców oraz usprawnianie procesów. Wdrażanie sztucznej inteligencji umożliwia szybszą i bardziej kompleksową transformację w tych obszarach. Inicjatywy związane z umowami najmu – nabywanie gruntów, renegocjowanie czynszów oraz płatności z góry – były nadal realizowane zgodnie z planem.</w:t>
      </w:r>
    </w:p>
    <w:p w14:paraId="394B2219" w14:textId="23C8A58C" w:rsidR="00124685" w:rsidRPr="00124685" w:rsidRDefault="00124685" w:rsidP="00124685">
      <w:pPr>
        <w:spacing w:after="200"/>
        <w:rPr>
          <w:b/>
          <w:bCs/>
          <w:sz w:val="22"/>
          <w:szCs w:val="22"/>
          <w:lang w:val="pl-PL"/>
        </w:rPr>
      </w:pPr>
      <w:r w:rsidRPr="00124685">
        <w:rPr>
          <w:b/>
          <w:bCs/>
          <w:sz w:val="22"/>
          <w:szCs w:val="22"/>
          <w:lang w:val="pl-PL"/>
        </w:rPr>
        <w:t>Wolne przepływy pieniężne weszły w nową fazę wzrostu</w:t>
      </w:r>
      <w:r w:rsidR="007A0217" w:rsidRPr="007A0217">
        <w:rPr>
          <w:b/>
          <w:bCs/>
          <w:sz w:val="22"/>
          <w:szCs w:val="22"/>
          <w:lang w:val="pl-PL"/>
        </w:rPr>
        <w:t>, zwiększając się 15-krotnie – do 301 mln EUR</w:t>
      </w:r>
      <w:r w:rsidR="007A0217">
        <w:rPr>
          <w:b/>
          <w:bCs/>
          <w:sz w:val="22"/>
          <w:szCs w:val="22"/>
          <w:lang w:val="pl-PL"/>
        </w:rPr>
        <w:t xml:space="preserve"> </w:t>
      </w:r>
      <w:r w:rsidRPr="00124685">
        <w:rPr>
          <w:b/>
          <w:bCs/>
          <w:sz w:val="22"/>
          <w:szCs w:val="22"/>
          <w:lang w:val="pl-PL"/>
        </w:rPr>
        <w:t xml:space="preserve">z 19 mln EUR w pierwszym półroczu 2025 r. Przyczyniły się do tego solidna realizacja działań operacyjnych, </w:t>
      </w:r>
      <w:r w:rsidRPr="00124685">
        <w:rPr>
          <w:b/>
          <w:bCs/>
          <w:sz w:val="22"/>
          <w:szCs w:val="22"/>
          <w:lang w:val="pl-PL"/>
        </w:rPr>
        <w:lastRenderedPageBreak/>
        <w:t>efektywna struktura kapitałowa, zoptymalizowany koszt zadłużenia oraz niższa kapitałochłonność inwestycji BTS.</w:t>
      </w:r>
    </w:p>
    <w:p w14:paraId="00B6DF7B" w14:textId="17A51502" w:rsidR="00124685" w:rsidRPr="00124685" w:rsidRDefault="00124685" w:rsidP="00124685">
      <w:pPr>
        <w:spacing w:before="200" w:after="120"/>
        <w:rPr>
          <w:b/>
          <w:bCs/>
          <w:color w:val="549A0C"/>
          <w:sz w:val="24"/>
          <w:szCs w:val="24"/>
          <w:lang w:val="pl-PL"/>
        </w:rPr>
      </w:pPr>
      <w:r w:rsidRPr="00124685">
        <w:rPr>
          <w:b/>
          <w:bCs/>
          <w:color w:val="549A0C"/>
          <w:sz w:val="24"/>
          <w:szCs w:val="24"/>
          <w:lang w:val="pl-PL"/>
        </w:rPr>
        <w:t xml:space="preserve">Solidna struktura kapitałowa i </w:t>
      </w:r>
      <w:r w:rsidR="005820A9">
        <w:rPr>
          <w:b/>
          <w:bCs/>
          <w:color w:val="549A0C"/>
          <w:sz w:val="24"/>
          <w:szCs w:val="24"/>
          <w:lang w:val="pl-PL"/>
        </w:rPr>
        <w:t>rekordowe świadczenia na rzecz</w:t>
      </w:r>
      <w:r w:rsidRPr="00124685">
        <w:rPr>
          <w:b/>
          <w:bCs/>
          <w:color w:val="549A0C"/>
          <w:sz w:val="24"/>
          <w:szCs w:val="24"/>
          <w:lang w:val="pl-PL"/>
        </w:rPr>
        <w:t xml:space="preserve"> akcjonariuszy</w:t>
      </w:r>
    </w:p>
    <w:p w14:paraId="46B9F3E1" w14:textId="3322CAC9" w:rsidR="00124685" w:rsidRPr="00124685" w:rsidRDefault="00124685" w:rsidP="00124685">
      <w:pPr>
        <w:spacing w:after="200"/>
        <w:rPr>
          <w:sz w:val="22"/>
          <w:szCs w:val="22"/>
          <w:lang w:val="pl-PL"/>
        </w:rPr>
      </w:pPr>
      <w:r w:rsidRPr="00124685">
        <w:rPr>
          <w:b/>
          <w:bCs/>
          <w:sz w:val="22"/>
          <w:szCs w:val="22"/>
          <w:lang w:val="pl-PL"/>
        </w:rPr>
        <w:t xml:space="preserve">Na koniec pierwszego półrocza 2026 r. dostępna płynność wynosiła około 5,3 mld EUR, </w:t>
      </w:r>
      <w:r w:rsidRPr="00124685">
        <w:rPr>
          <w:sz w:val="22"/>
          <w:szCs w:val="22"/>
          <w:lang w:val="pl-PL"/>
        </w:rPr>
        <w:t xml:space="preserve">w tym około 2,0 mld EUR środków pieniężnych i 3,3 mld EUR niewykorzystanych linii kredytowych. Finansowanie zapadalnych zobowiązań Grupy w latach 2026–2028 jest w </w:t>
      </w:r>
      <w:r w:rsidR="000A45B6">
        <w:rPr>
          <w:sz w:val="22"/>
          <w:szCs w:val="22"/>
          <w:lang w:val="pl-PL"/>
        </w:rPr>
        <w:t>znacznej mierze</w:t>
      </w:r>
      <w:r w:rsidRPr="00124685">
        <w:rPr>
          <w:sz w:val="22"/>
          <w:szCs w:val="22"/>
          <w:lang w:val="pl-PL"/>
        </w:rPr>
        <w:t xml:space="preserve"> zabezpieczone dzięki przyznanym odnawialnym liniom kredytowym oraz szerokiemu zakresowi dostępnych możliwości finansowania.</w:t>
      </w:r>
    </w:p>
    <w:p w14:paraId="03A08F87" w14:textId="4912E0E7" w:rsidR="00124685" w:rsidRPr="00124685" w:rsidRDefault="00124685" w:rsidP="00124685">
      <w:pPr>
        <w:spacing w:after="200"/>
        <w:rPr>
          <w:sz w:val="22"/>
          <w:szCs w:val="22"/>
          <w:lang w:val="pl-PL"/>
        </w:rPr>
      </w:pPr>
      <w:r w:rsidRPr="00124685">
        <w:rPr>
          <w:b/>
          <w:bCs/>
          <w:sz w:val="22"/>
          <w:szCs w:val="22"/>
          <w:lang w:val="pl-PL"/>
        </w:rPr>
        <w:t xml:space="preserve">Łączna dywidenda za 2026 r. </w:t>
      </w:r>
      <w:r>
        <w:rPr>
          <w:b/>
          <w:bCs/>
          <w:sz w:val="22"/>
          <w:szCs w:val="22"/>
          <w:lang w:val="pl-PL"/>
        </w:rPr>
        <w:t>wyniosła</w:t>
      </w:r>
      <w:r w:rsidRPr="00124685">
        <w:rPr>
          <w:b/>
          <w:bCs/>
          <w:sz w:val="22"/>
          <w:szCs w:val="22"/>
          <w:lang w:val="pl-PL"/>
        </w:rPr>
        <w:t xml:space="preserve"> 500 mln EUR:</w:t>
      </w:r>
      <w:r w:rsidRPr="00124685">
        <w:rPr>
          <w:sz w:val="22"/>
          <w:szCs w:val="22"/>
          <w:lang w:val="pl-PL"/>
        </w:rPr>
        <w:t xml:space="preserve"> pierwszą transzę w wysokości 250 mln EUR wypłacono 15 stycznia 2026 r., a drugą – 15 lipca 2026 r. Cellnex </w:t>
      </w:r>
      <w:r w:rsidRPr="00124685">
        <w:rPr>
          <w:b/>
          <w:bCs/>
          <w:sz w:val="22"/>
          <w:szCs w:val="22"/>
          <w:lang w:val="pl-PL"/>
        </w:rPr>
        <w:t>zakończył również program skupu akcji własnych o wartości 500 mln EUR,</w:t>
      </w:r>
      <w:r w:rsidRPr="00124685">
        <w:rPr>
          <w:sz w:val="22"/>
          <w:szCs w:val="22"/>
          <w:lang w:val="pl-PL"/>
        </w:rPr>
        <w:t xml:space="preserve"> ogłoszony 6 listopada 2025 r. W czwartym kwartale 2025 r. zrealizowano skup o wartości 200 mln EUR, natomiast w pierwszym półroczu 2026 r. – o wartości 300 mln EUR.</w:t>
      </w:r>
    </w:p>
    <w:p w14:paraId="70DBC705" w14:textId="77777777" w:rsidR="00C52B41" w:rsidRPr="00C52B41" w:rsidRDefault="00C52B41" w:rsidP="00C52B41">
      <w:pPr>
        <w:spacing w:after="200"/>
        <w:rPr>
          <w:sz w:val="22"/>
          <w:szCs w:val="22"/>
          <w:lang w:val="pl-PL"/>
        </w:rPr>
      </w:pPr>
      <w:r w:rsidRPr="00C52B41">
        <w:rPr>
          <w:sz w:val="22"/>
          <w:szCs w:val="22"/>
          <w:lang w:val="pl-PL"/>
        </w:rPr>
        <w:t xml:space="preserve">Dziś, 30 lipca 2026 r., </w:t>
      </w:r>
      <w:r w:rsidRPr="007D3612">
        <w:rPr>
          <w:b/>
          <w:bCs/>
          <w:sz w:val="22"/>
          <w:szCs w:val="22"/>
          <w:lang w:val="pl-PL"/>
        </w:rPr>
        <w:t xml:space="preserve">Rada Dyrektorów zatwierdziła uruchomienie dodatkowego programu skupu akcji własnych o maksymalnej wartości 200 mln EUR. </w:t>
      </w:r>
      <w:r w:rsidRPr="00C52B41">
        <w:rPr>
          <w:sz w:val="22"/>
          <w:szCs w:val="22"/>
          <w:lang w:val="pl-PL"/>
        </w:rPr>
        <w:t>Decyzję tę wspierają solidne wyniki operacyjne działalności oraz dostępna płynność.</w:t>
      </w:r>
    </w:p>
    <w:p w14:paraId="4F8281F2" w14:textId="77777777" w:rsidR="00C52B41" w:rsidRPr="00C52B41" w:rsidRDefault="00C52B41" w:rsidP="00C52B41">
      <w:pPr>
        <w:spacing w:after="200"/>
        <w:rPr>
          <w:sz w:val="22"/>
          <w:szCs w:val="22"/>
          <w:lang w:val="pl-PL"/>
        </w:rPr>
      </w:pPr>
      <w:r w:rsidRPr="007D3612">
        <w:rPr>
          <w:i/>
          <w:iCs/>
          <w:sz w:val="22"/>
          <w:szCs w:val="22"/>
          <w:lang w:val="pl-PL"/>
        </w:rPr>
        <w:t>„Uruchomienie dodatkowego programu skupu akcji własnych zwiększa łączną wartość świadczeń na rzecz akcjonariuszy w 2026 r. do 1 mld EUR. Kwota ta przekracza ambitne cele przedstawione podczas naszego Dnia Rynków Kapitałowych i dodatkowo wzmocnione w listopadzie 2025 r. Pokazuje to, że dzięki strategii optymalizacji finansowej i zapewniania zwrotu akcjonariuszom, skoncentrowanej na zrównoważonym tworzeniu długoterminowej wartości, jesteśmy w stanie osiągać wyniki przewyższające oczekiwania”</w:t>
      </w:r>
      <w:r w:rsidRPr="00C52B41">
        <w:rPr>
          <w:sz w:val="22"/>
          <w:szCs w:val="22"/>
          <w:lang w:val="pl-PL"/>
        </w:rPr>
        <w:t xml:space="preserve"> – powiedział Raimon Trias, CFO Cellnex.</w:t>
      </w:r>
    </w:p>
    <w:p w14:paraId="4ED50F53" w14:textId="77777777" w:rsidR="00C52B41" w:rsidRPr="007D3612" w:rsidRDefault="00C52B41" w:rsidP="00C52B41">
      <w:pPr>
        <w:spacing w:after="200"/>
        <w:rPr>
          <w:b/>
          <w:bCs/>
          <w:sz w:val="22"/>
          <w:szCs w:val="22"/>
          <w:lang w:val="pl-PL"/>
        </w:rPr>
      </w:pPr>
      <w:r w:rsidRPr="00C52B41">
        <w:rPr>
          <w:sz w:val="22"/>
          <w:szCs w:val="22"/>
          <w:lang w:val="pl-PL"/>
        </w:rPr>
        <w:t xml:space="preserve">W latach 2025–2026 </w:t>
      </w:r>
      <w:r w:rsidRPr="007D3612">
        <w:rPr>
          <w:b/>
          <w:bCs/>
          <w:sz w:val="22"/>
          <w:szCs w:val="22"/>
          <w:lang w:val="pl-PL"/>
        </w:rPr>
        <w:t>Cellnex przekaże akcjonariuszom łącznie około 2 mld EUR, co przy obecnym kursie akcji odpowiada skumulowanej stopie zwrotu gotówkowego na poziomie około 11% kapitalizacji rynkowej spółki.</w:t>
      </w:r>
    </w:p>
    <w:p w14:paraId="16B98C44" w14:textId="77777777" w:rsidR="00C52B41" w:rsidRPr="00C52B41" w:rsidRDefault="00C52B41" w:rsidP="00C52B41">
      <w:pPr>
        <w:spacing w:after="200"/>
        <w:rPr>
          <w:sz w:val="22"/>
          <w:szCs w:val="22"/>
          <w:lang w:val="pl-PL"/>
        </w:rPr>
      </w:pPr>
      <w:r w:rsidRPr="00C52B41">
        <w:rPr>
          <w:sz w:val="22"/>
          <w:szCs w:val="22"/>
          <w:lang w:val="pl-PL"/>
        </w:rPr>
        <w:t>Przy założeniu maksymalnej wartości programu wynoszącej 200 mln EUR oraz kursu akcji na zamknięciu wczorajszej sesji akcje nabyte w ramach programu stanowiłyby około 1,11% kapitału zakładowego spółki po przeprowadzeniu zatwierdzonego i ogłoszonego dzisiaj obniżenia kapitału zakładowego (zob. część poniżej).</w:t>
      </w:r>
    </w:p>
    <w:p w14:paraId="23AE6F33" w14:textId="3F58B73F" w:rsidR="00C52B41" w:rsidRPr="00C52B41" w:rsidRDefault="00C52B41" w:rsidP="00C52B41">
      <w:pPr>
        <w:spacing w:after="200"/>
        <w:rPr>
          <w:sz w:val="22"/>
          <w:szCs w:val="22"/>
          <w:lang w:val="pl-PL"/>
        </w:rPr>
      </w:pPr>
      <w:r w:rsidRPr="00C52B41">
        <w:rPr>
          <w:sz w:val="22"/>
          <w:szCs w:val="22"/>
          <w:lang w:val="pl-PL"/>
        </w:rPr>
        <w:t>Program skupu akcji własnych ma</w:t>
      </w:r>
      <w:r w:rsidR="000A45B6">
        <w:rPr>
          <w:sz w:val="22"/>
          <w:szCs w:val="22"/>
          <w:lang w:val="pl-PL"/>
        </w:rPr>
        <w:t xml:space="preserve"> rozpocząć się w sierpniu i</w:t>
      </w:r>
      <w:r w:rsidRPr="00C52B41">
        <w:rPr>
          <w:sz w:val="22"/>
          <w:szCs w:val="22"/>
          <w:lang w:val="pl-PL"/>
        </w:rPr>
        <w:t xml:space="preserve"> zostać zakończony nie później niż 31 grudnia 2026 r. albo wcześniej, jeżeli przed tym terminem zostaną nabyte akcje o łącznej wartości odpowiadającej wskazanej maksymalnej kwocie programu</w:t>
      </w:r>
      <w:r w:rsidR="00A748D8">
        <w:rPr>
          <w:rStyle w:val="FootnoteReference"/>
          <w:sz w:val="22"/>
          <w:szCs w:val="22"/>
          <w:lang w:val="pl-PL"/>
        </w:rPr>
        <w:footnoteReference w:id="3"/>
      </w:r>
      <w:r w:rsidRPr="00C52B41">
        <w:rPr>
          <w:sz w:val="22"/>
          <w:szCs w:val="22"/>
          <w:lang w:val="pl-PL"/>
        </w:rPr>
        <w:t>.</w:t>
      </w:r>
    </w:p>
    <w:p w14:paraId="15EFD9F1" w14:textId="77777777" w:rsidR="00C52B41" w:rsidRPr="00C52B41" w:rsidRDefault="00C52B41" w:rsidP="00C52B41">
      <w:pPr>
        <w:spacing w:after="200"/>
        <w:rPr>
          <w:sz w:val="22"/>
          <w:szCs w:val="22"/>
          <w:lang w:val="pl-PL"/>
        </w:rPr>
      </w:pPr>
      <w:r w:rsidRPr="00C52B41">
        <w:rPr>
          <w:sz w:val="22"/>
          <w:szCs w:val="22"/>
          <w:lang w:val="pl-PL"/>
        </w:rPr>
        <w:t>Programem skupu akcji własnych będzie zarządzać jedna lub kilka instytucji finansowych, które będą nabywać akcje na rzecz i w imieniu spółki oraz podejmować – niezależnie od spółki – decyzje transakcyjne dotyczące terminów nabywania akcji.</w:t>
      </w:r>
    </w:p>
    <w:p w14:paraId="664EEA7D" w14:textId="1BDBBBA4" w:rsidR="00C52B41" w:rsidRPr="00124685" w:rsidRDefault="00C52B41" w:rsidP="00C52B41">
      <w:pPr>
        <w:spacing w:after="200"/>
        <w:rPr>
          <w:sz w:val="22"/>
          <w:szCs w:val="22"/>
          <w:lang w:val="pl-PL"/>
        </w:rPr>
      </w:pPr>
      <w:r w:rsidRPr="00C52B41">
        <w:rPr>
          <w:sz w:val="22"/>
          <w:szCs w:val="22"/>
          <w:lang w:val="pl-PL"/>
        </w:rPr>
        <w:t>Po zakończeniu programu skupu akcji własnych, pod warunkiem uzyskania zgody Walnego Zgromadzenia Akcjonariuszy, spółka zamierza obniżyć kapitał zakładowy poprzez umorzenie nabytych akcji.</w:t>
      </w:r>
      <w:r w:rsidRPr="00C52B41" w:rsidDel="00C52B41">
        <w:rPr>
          <w:sz w:val="22"/>
          <w:szCs w:val="22"/>
          <w:lang w:val="pl-PL"/>
        </w:rPr>
        <w:t xml:space="preserve"> </w:t>
      </w:r>
    </w:p>
    <w:p w14:paraId="42732BDB" w14:textId="77777777" w:rsidR="009B7637" w:rsidRPr="009B7637" w:rsidRDefault="009B7637" w:rsidP="009B7637">
      <w:pPr>
        <w:tabs>
          <w:tab w:val="num" w:pos="720"/>
        </w:tabs>
        <w:spacing w:after="200"/>
        <w:rPr>
          <w:b/>
          <w:bCs/>
          <w:i/>
          <w:iCs/>
          <w:sz w:val="22"/>
          <w:szCs w:val="22"/>
          <w:lang w:val="pl-PL"/>
        </w:rPr>
      </w:pPr>
      <w:r w:rsidRPr="009B7637">
        <w:rPr>
          <w:b/>
          <w:color w:val="549A0C"/>
          <w:sz w:val="24"/>
          <w:szCs w:val="24"/>
          <w:lang w:val="pl-PL"/>
        </w:rPr>
        <w:t>Obniżenie kapitału zakładowego</w:t>
      </w:r>
    </w:p>
    <w:p w14:paraId="57664BF8" w14:textId="77777777" w:rsidR="009B7637" w:rsidRPr="009B7637" w:rsidRDefault="009B7637" w:rsidP="009B7637">
      <w:pPr>
        <w:spacing w:after="200"/>
        <w:rPr>
          <w:sz w:val="22"/>
          <w:szCs w:val="22"/>
          <w:lang w:val="pl-PL"/>
        </w:rPr>
      </w:pPr>
      <w:r w:rsidRPr="009B7637">
        <w:rPr>
          <w:sz w:val="22"/>
          <w:szCs w:val="22"/>
          <w:lang w:val="pl-PL"/>
        </w:rPr>
        <w:t xml:space="preserve">Dziś Rada Dyrektorów zatwierdziła również obniżenie kapitału zakładowego poprzez umorzenie akcji własnych nabytych w ramach poprzedniego programu skupu, zakończonego w czerwcu i opiewającego na kwotę 500 mln EUR. Decyzja ta wzmacnia zobowiązanie Cellnex do tworzenia wartości dla akcjonariuszy i zwiększania efektywności struktury kapitałowej. Po przeprowadzeniu obniżenia kapitału zakładowego kapitał zakładowy </w:t>
      </w:r>
      <w:r w:rsidRPr="009B7637">
        <w:rPr>
          <w:sz w:val="22"/>
          <w:szCs w:val="22"/>
          <w:lang w:val="pl-PL"/>
        </w:rPr>
        <w:lastRenderedPageBreak/>
        <w:t>Cellnex będzie wynosił 166 026 506 EUR i będzie reprezentowany przez 664 106 024 akcje o wartości nominalnej 0,25 EUR każda, należące do tej samej klasy i serii. Będzie to liczba akcji pozostających w obrocie pro forma po umorzeniu akcji własnych nabytych w ramach poprzedniego programu skupu.</w:t>
      </w:r>
    </w:p>
    <w:p w14:paraId="3C22CDA8" w14:textId="49C67AAF" w:rsidR="00124685" w:rsidRDefault="00124685" w:rsidP="00124685">
      <w:pPr>
        <w:tabs>
          <w:tab w:val="num" w:pos="720"/>
        </w:tabs>
        <w:spacing w:after="200"/>
        <w:rPr>
          <w:b/>
          <w:color w:val="549A0C"/>
          <w:sz w:val="24"/>
          <w:szCs w:val="24"/>
          <w:lang w:val="pl-PL"/>
        </w:rPr>
      </w:pPr>
      <w:r w:rsidRPr="00124685">
        <w:rPr>
          <w:b/>
          <w:color w:val="549A0C"/>
          <w:sz w:val="24"/>
          <w:szCs w:val="24"/>
          <w:lang w:val="pl-PL"/>
        </w:rPr>
        <w:t>Prognozy</w:t>
      </w:r>
    </w:p>
    <w:p w14:paraId="73D29DE1" w14:textId="50D30D0E" w:rsidR="00FE7432" w:rsidRPr="00124685" w:rsidRDefault="00BF3F4C" w:rsidP="00124685">
      <w:pPr>
        <w:tabs>
          <w:tab w:val="num" w:pos="720"/>
        </w:tabs>
        <w:spacing w:after="200"/>
        <w:rPr>
          <w:sz w:val="22"/>
          <w:szCs w:val="22"/>
          <w:lang w:val="pl-PL"/>
        </w:rPr>
      </w:pPr>
      <w:r w:rsidRPr="00BF3F4C">
        <w:rPr>
          <w:sz w:val="22"/>
          <w:szCs w:val="22"/>
          <w:lang w:val="pl-PL"/>
        </w:rPr>
        <w:t>Cellnex podtrzymuje wszystkie opublikowane cele:</w:t>
      </w:r>
      <w:r w:rsidRPr="00BF3F4C" w:rsidDel="00BF3F4C">
        <w:rPr>
          <w:sz w:val="22"/>
          <w:szCs w:val="22"/>
          <w:lang w:val="pl-PL"/>
        </w:rPr>
        <w:t xml:space="preserve"> </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2390"/>
        <w:gridCol w:w="2409"/>
      </w:tblGrid>
      <w:tr w:rsidR="00124685" w:rsidRPr="002F5265" w14:paraId="4BF35C40" w14:textId="77777777" w:rsidTr="5850C3CD">
        <w:trPr>
          <w:trHeight w:val="389"/>
          <w:jc w:val="center"/>
        </w:trPr>
        <w:tc>
          <w:tcPr>
            <w:tcW w:w="3134" w:type="dxa"/>
            <w:shd w:val="clear" w:color="auto" w:fill="64A70B"/>
          </w:tcPr>
          <w:p w14:paraId="7CF7F781" w14:textId="547E31C3" w:rsidR="00124685" w:rsidRPr="00124685" w:rsidRDefault="00124685" w:rsidP="5850C3CD">
            <w:pPr>
              <w:jc w:val="center"/>
              <w:rPr>
                <w:b/>
                <w:bCs/>
                <w:color w:val="FFFFFF" w:themeColor="background1"/>
                <w:sz w:val="22"/>
                <w:szCs w:val="22"/>
                <w:lang w:val="es-ES"/>
              </w:rPr>
            </w:pPr>
            <w:r w:rsidRPr="5850C3CD">
              <w:rPr>
                <w:b/>
                <w:bCs/>
                <w:color w:val="FFFFFF" w:themeColor="background1"/>
                <w:sz w:val="22"/>
                <w:szCs w:val="22"/>
                <w:lang w:val="es-ES"/>
              </w:rPr>
              <w:t>mln EUR</w:t>
            </w:r>
          </w:p>
        </w:tc>
        <w:tc>
          <w:tcPr>
            <w:tcW w:w="2390" w:type="dxa"/>
            <w:shd w:val="clear" w:color="auto" w:fill="64A70B"/>
          </w:tcPr>
          <w:p w14:paraId="4FDF001B" w14:textId="49CFB733" w:rsidR="00124685" w:rsidRPr="00124685" w:rsidRDefault="00124685" w:rsidP="5850C3CD">
            <w:pPr>
              <w:jc w:val="center"/>
              <w:rPr>
                <w:b/>
                <w:bCs/>
                <w:color w:val="FFFFFF" w:themeColor="background1"/>
                <w:sz w:val="22"/>
                <w:szCs w:val="22"/>
                <w:lang w:val="es-ES"/>
              </w:rPr>
            </w:pPr>
            <w:r w:rsidRPr="5850C3CD">
              <w:rPr>
                <w:b/>
                <w:bCs/>
                <w:color w:val="FFFFFF" w:themeColor="background1"/>
                <w:sz w:val="22"/>
                <w:szCs w:val="22"/>
                <w:lang w:val="es-ES"/>
              </w:rPr>
              <w:t>Prognoza na 2026 r.</w:t>
            </w:r>
          </w:p>
        </w:tc>
        <w:tc>
          <w:tcPr>
            <w:tcW w:w="2409" w:type="dxa"/>
            <w:shd w:val="clear" w:color="auto" w:fill="64A70B"/>
          </w:tcPr>
          <w:p w14:paraId="3913E98B" w14:textId="5432F428" w:rsidR="00124685" w:rsidRPr="00124685" w:rsidRDefault="00124685" w:rsidP="5850C3CD">
            <w:pPr>
              <w:jc w:val="center"/>
              <w:rPr>
                <w:b/>
                <w:bCs/>
                <w:color w:val="FFFFFF" w:themeColor="background1"/>
                <w:sz w:val="22"/>
                <w:szCs w:val="22"/>
                <w:lang w:val="es-ES"/>
              </w:rPr>
            </w:pPr>
            <w:r w:rsidRPr="5850C3CD">
              <w:rPr>
                <w:b/>
                <w:bCs/>
                <w:color w:val="FFFFFF" w:themeColor="background1"/>
                <w:sz w:val="22"/>
                <w:szCs w:val="22"/>
                <w:lang w:val="es-ES"/>
              </w:rPr>
              <w:t>Prognoza na 2027 r.</w:t>
            </w:r>
          </w:p>
        </w:tc>
      </w:tr>
      <w:tr w:rsidR="001036B4" w:rsidRPr="002F5265" w14:paraId="43070ED2" w14:textId="77777777" w:rsidTr="5850C3CD">
        <w:trPr>
          <w:trHeight w:val="389"/>
          <w:jc w:val="center"/>
        </w:trPr>
        <w:tc>
          <w:tcPr>
            <w:tcW w:w="3134" w:type="dxa"/>
            <w:shd w:val="clear" w:color="auto" w:fill="F2F7EC"/>
            <w:vAlign w:val="center"/>
          </w:tcPr>
          <w:p w14:paraId="5226EC86" w14:textId="384BDDD1" w:rsidR="001036B4" w:rsidRPr="002F5265" w:rsidRDefault="00124685" w:rsidP="5850C3CD">
            <w:pPr>
              <w:jc w:val="center"/>
              <w:rPr>
                <w:sz w:val="22"/>
                <w:szCs w:val="22"/>
                <w:lang w:val="es-ES"/>
              </w:rPr>
            </w:pPr>
            <w:r w:rsidRPr="5850C3CD">
              <w:rPr>
                <w:b/>
                <w:bCs/>
                <w:sz w:val="22"/>
                <w:szCs w:val="22"/>
                <w:lang w:val="es-ES"/>
              </w:rPr>
              <w:t>Przychody (bez kosztów refakturowanych)</w:t>
            </w:r>
          </w:p>
        </w:tc>
        <w:tc>
          <w:tcPr>
            <w:tcW w:w="2390" w:type="dxa"/>
            <w:shd w:val="clear" w:color="auto" w:fill="F2F7EC"/>
            <w:vAlign w:val="center"/>
          </w:tcPr>
          <w:p w14:paraId="3A4CB263" w14:textId="77777777" w:rsidR="001036B4" w:rsidRPr="002F5265" w:rsidRDefault="001036B4" w:rsidP="006E52F2">
            <w:pPr>
              <w:jc w:val="center"/>
              <w:rPr>
                <w:sz w:val="22"/>
                <w:szCs w:val="22"/>
              </w:rPr>
            </w:pPr>
            <w:r w:rsidRPr="002F5265">
              <w:rPr>
                <w:sz w:val="22"/>
                <w:szCs w:val="22"/>
              </w:rPr>
              <w:t>4,075 – 4,175</w:t>
            </w:r>
          </w:p>
        </w:tc>
        <w:tc>
          <w:tcPr>
            <w:tcW w:w="2409" w:type="dxa"/>
            <w:shd w:val="clear" w:color="auto" w:fill="F2F7EC"/>
            <w:vAlign w:val="center"/>
          </w:tcPr>
          <w:p w14:paraId="2B645469" w14:textId="77777777" w:rsidR="001036B4" w:rsidRPr="002F5265" w:rsidRDefault="001036B4" w:rsidP="006E52F2">
            <w:pPr>
              <w:jc w:val="center"/>
              <w:rPr>
                <w:sz w:val="22"/>
                <w:szCs w:val="22"/>
              </w:rPr>
            </w:pPr>
            <w:r w:rsidRPr="002F5265">
              <w:rPr>
                <w:sz w:val="22"/>
                <w:szCs w:val="22"/>
              </w:rPr>
              <w:t>4,255 – 4,455</w:t>
            </w:r>
          </w:p>
        </w:tc>
      </w:tr>
      <w:tr w:rsidR="001036B4" w:rsidRPr="002F5265" w14:paraId="36779AEB" w14:textId="77777777" w:rsidTr="5850C3CD">
        <w:trPr>
          <w:trHeight w:val="389"/>
          <w:jc w:val="center"/>
        </w:trPr>
        <w:tc>
          <w:tcPr>
            <w:tcW w:w="3134" w:type="dxa"/>
            <w:shd w:val="clear" w:color="auto" w:fill="FFFFFF" w:themeFill="background1"/>
            <w:vAlign w:val="center"/>
          </w:tcPr>
          <w:p w14:paraId="00D05D7E" w14:textId="502170D6" w:rsidR="001036B4" w:rsidRPr="002F5265" w:rsidRDefault="00124685" w:rsidP="5850C3CD">
            <w:pPr>
              <w:jc w:val="center"/>
              <w:rPr>
                <w:sz w:val="22"/>
                <w:szCs w:val="22"/>
                <w:lang w:val="es-ES"/>
              </w:rPr>
            </w:pPr>
            <w:r w:rsidRPr="5850C3CD">
              <w:rPr>
                <w:b/>
                <w:bCs/>
                <w:sz w:val="22"/>
                <w:szCs w:val="22"/>
                <w:lang w:val="es-ES"/>
              </w:rPr>
              <w:t>Skorygowana EBITDA</w:t>
            </w:r>
          </w:p>
        </w:tc>
        <w:tc>
          <w:tcPr>
            <w:tcW w:w="2390" w:type="dxa"/>
            <w:shd w:val="clear" w:color="auto" w:fill="FFFFFF" w:themeFill="background1"/>
            <w:vAlign w:val="center"/>
          </w:tcPr>
          <w:p w14:paraId="549F5E06" w14:textId="77777777" w:rsidR="001036B4" w:rsidRPr="002F5265" w:rsidRDefault="001036B4" w:rsidP="006E52F2">
            <w:pPr>
              <w:jc w:val="center"/>
              <w:rPr>
                <w:sz w:val="22"/>
                <w:szCs w:val="22"/>
              </w:rPr>
            </w:pPr>
            <w:r w:rsidRPr="002F5265">
              <w:rPr>
                <w:sz w:val="22"/>
                <w:szCs w:val="22"/>
              </w:rPr>
              <w:t>3,425 – 3,525</w:t>
            </w:r>
          </w:p>
        </w:tc>
        <w:tc>
          <w:tcPr>
            <w:tcW w:w="2409" w:type="dxa"/>
            <w:shd w:val="clear" w:color="auto" w:fill="FFFFFF" w:themeFill="background1"/>
            <w:vAlign w:val="center"/>
          </w:tcPr>
          <w:p w14:paraId="00E6EF51" w14:textId="77777777" w:rsidR="001036B4" w:rsidRPr="002F5265" w:rsidRDefault="001036B4" w:rsidP="006E52F2">
            <w:pPr>
              <w:jc w:val="center"/>
              <w:rPr>
                <w:sz w:val="22"/>
                <w:szCs w:val="22"/>
              </w:rPr>
            </w:pPr>
            <w:r w:rsidRPr="002F5265">
              <w:rPr>
                <w:sz w:val="22"/>
                <w:szCs w:val="22"/>
              </w:rPr>
              <w:t>3,605 – 3,805</w:t>
            </w:r>
          </w:p>
        </w:tc>
      </w:tr>
      <w:tr w:rsidR="001036B4" w:rsidRPr="002F5265" w14:paraId="502EFCC2" w14:textId="77777777" w:rsidTr="5850C3CD">
        <w:trPr>
          <w:trHeight w:val="389"/>
          <w:jc w:val="center"/>
        </w:trPr>
        <w:tc>
          <w:tcPr>
            <w:tcW w:w="3134" w:type="dxa"/>
            <w:shd w:val="clear" w:color="auto" w:fill="F2F7EC"/>
            <w:vAlign w:val="center"/>
          </w:tcPr>
          <w:p w14:paraId="257EEE75" w14:textId="77777777" w:rsidR="001036B4" w:rsidRPr="002F5265" w:rsidRDefault="001036B4" w:rsidP="006E52F2">
            <w:pPr>
              <w:jc w:val="center"/>
              <w:rPr>
                <w:sz w:val="22"/>
                <w:szCs w:val="22"/>
              </w:rPr>
            </w:pPr>
            <w:r w:rsidRPr="002F5265">
              <w:rPr>
                <w:b/>
                <w:sz w:val="22"/>
                <w:szCs w:val="22"/>
              </w:rPr>
              <w:t>RLFCF</w:t>
            </w:r>
          </w:p>
        </w:tc>
        <w:tc>
          <w:tcPr>
            <w:tcW w:w="2390" w:type="dxa"/>
            <w:shd w:val="clear" w:color="auto" w:fill="F2F7EC"/>
            <w:vAlign w:val="center"/>
          </w:tcPr>
          <w:p w14:paraId="118ECF94" w14:textId="77777777" w:rsidR="001036B4" w:rsidRPr="002F5265" w:rsidRDefault="001036B4" w:rsidP="006E52F2">
            <w:pPr>
              <w:jc w:val="center"/>
              <w:rPr>
                <w:sz w:val="22"/>
                <w:szCs w:val="22"/>
              </w:rPr>
            </w:pPr>
            <w:r w:rsidRPr="002F5265">
              <w:rPr>
                <w:sz w:val="22"/>
                <w:szCs w:val="22"/>
              </w:rPr>
              <w:t>1,900 – 2,000</w:t>
            </w:r>
          </w:p>
        </w:tc>
        <w:tc>
          <w:tcPr>
            <w:tcW w:w="2409" w:type="dxa"/>
            <w:shd w:val="clear" w:color="auto" w:fill="F2F7EC"/>
            <w:vAlign w:val="center"/>
          </w:tcPr>
          <w:p w14:paraId="2EBE28C6" w14:textId="77777777" w:rsidR="001036B4" w:rsidRPr="002F5265" w:rsidRDefault="001036B4" w:rsidP="006E52F2">
            <w:pPr>
              <w:jc w:val="center"/>
              <w:rPr>
                <w:sz w:val="22"/>
                <w:szCs w:val="22"/>
              </w:rPr>
            </w:pPr>
            <w:r w:rsidRPr="002F5265">
              <w:rPr>
                <w:sz w:val="22"/>
                <w:szCs w:val="22"/>
              </w:rPr>
              <w:t>1,945 – 2,145</w:t>
            </w:r>
          </w:p>
        </w:tc>
      </w:tr>
      <w:tr w:rsidR="001036B4" w:rsidRPr="002F5265" w14:paraId="37C9D6C5" w14:textId="77777777" w:rsidTr="5850C3CD">
        <w:trPr>
          <w:trHeight w:val="389"/>
          <w:jc w:val="center"/>
        </w:trPr>
        <w:tc>
          <w:tcPr>
            <w:tcW w:w="3134" w:type="dxa"/>
            <w:shd w:val="clear" w:color="auto" w:fill="FFFFFF" w:themeFill="background1"/>
            <w:vAlign w:val="center"/>
          </w:tcPr>
          <w:p w14:paraId="35A38D99" w14:textId="77777777" w:rsidR="001036B4" w:rsidRPr="002F5265" w:rsidRDefault="001036B4" w:rsidP="006E52F2">
            <w:pPr>
              <w:jc w:val="center"/>
              <w:rPr>
                <w:sz w:val="22"/>
                <w:szCs w:val="22"/>
              </w:rPr>
            </w:pPr>
            <w:r w:rsidRPr="002F5265">
              <w:rPr>
                <w:b/>
                <w:sz w:val="22"/>
                <w:szCs w:val="22"/>
              </w:rPr>
              <w:t>FCF</w:t>
            </w:r>
          </w:p>
        </w:tc>
        <w:tc>
          <w:tcPr>
            <w:tcW w:w="2390" w:type="dxa"/>
            <w:shd w:val="clear" w:color="auto" w:fill="FFFFFF" w:themeFill="background1"/>
            <w:vAlign w:val="center"/>
          </w:tcPr>
          <w:p w14:paraId="5E7BE85E" w14:textId="77777777" w:rsidR="001036B4" w:rsidRPr="002F5265" w:rsidRDefault="001036B4" w:rsidP="006E52F2">
            <w:pPr>
              <w:jc w:val="center"/>
              <w:rPr>
                <w:sz w:val="22"/>
                <w:szCs w:val="22"/>
              </w:rPr>
            </w:pPr>
            <w:r w:rsidRPr="002F5265">
              <w:rPr>
                <w:sz w:val="22"/>
                <w:szCs w:val="22"/>
              </w:rPr>
              <w:t>600 – 700</w:t>
            </w:r>
          </w:p>
        </w:tc>
        <w:tc>
          <w:tcPr>
            <w:tcW w:w="2409" w:type="dxa"/>
            <w:shd w:val="clear" w:color="auto" w:fill="FFFFFF" w:themeFill="background1"/>
            <w:vAlign w:val="center"/>
          </w:tcPr>
          <w:p w14:paraId="528E4A6B" w14:textId="77777777" w:rsidR="001036B4" w:rsidRPr="002F5265" w:rsidRDefault="001036B4" w:rsidP="006E52F2">
            <w:pPr>
              <w:jc w:val="center"/>
              <w:rPr>
                <w:sz w:val="22"/>
                <w:szCs w:val="22"/>
              </w:rPr>
            </w:pPr>
            <w:r w:rsidRPr="002F5265">
              <w:rPr>
                <w:sz w:val="22"/>
                <w:szCs w:val="22"/>
              </w:rPr>
              <w:t>975 – 1,175</w:t>
            </w:r>
          </w:p>
        </w:tc>
      </w:tr>
    </w:tbl>
    <w:p w14:paraId="3B8E0D6C" w14:textId="4FD72E55" w:rsidR="00B5046B" w:rsidRPr="00E52CBB" w:rsidRDefault="00124685" w:rsidP="002945E7">
      <w:pPr>
        <w:suppressAutoHyphens/>
        <w:spacing w:before="240" w:after="240" w:line="240" w:lineRule="auto"/>
        <w:rPr>
          <w:color w:val="425563"/>
          <w:sz w:val="24"/>
          <w:szCs w:val="24"/>
          <w:lang w:val="en-US"/>
        </w:rPr>
      </w:pPr>
      <w:r>
        <w:rPr>
          <w:b/>
          <w:bCs/>
          <w:color w:val="549A0C"/>
          <w:spacing w:val="0"/>
          <w:sz w:val="24"/>
          <w:szCs w:val="24"/>
          <w:lang w:val="en-GB" w:eastAsia="ca-ES"/>
        </w:rPr>
        <w:t>O</w:t>
      </w:r>
      <w:r w:rsidR="00B5046B" w:rsidRPr="00E52CBB">
        <w:rPr>
          <w:b/>
          <w:bCs/>
          <w:color w:val="549A0C"/>
          <w:spacing w:val="0"/>
          <w:sz w:val="24"/>
          <w:szCs w:val="24"/>
          <w:lang w:val="en-GB" w:eastAsia="ca-ES"/>
        </w:rPr>
        <w:t xml:space="preserve"> Cellnex </w:t>
      </w:r>
    </w:p>
    <w:p w14:paraId="1ECB34BD" w14:textId="0C3E46C8" w:rsidR="00124685" w:rsidRPr="00124685" w:rsidRDefault="00124685" w:rsidP="00124685">
      <w:pPr>
        <w:rPr>
          <w:sz w:val="22"/>
          <w:szCs w:val="22"/>
          <w:lang w:val="pl-PL"/>
        </w:rPr>
      </w:pPr>
      <w:r w:rsidRPr="00124685">
        <w:rPr>
          <w:sz w:val="22"/>
          <w:szCs w:val="22"/>
          <w:lang w:val="pl-PL"/>
        </w:rPr>
        <w:t>Cellnex jest wiodącym europejskim operatorem infrastruktury telekomunikacyjnej, umożliwiającym operatorom sieci komórkowych korzystanie z rozległej i efektywnej sieci współdzielonej. Pozwala to obniżać bariery wejścia na rynek, zwiększać zasięg na obszarach miejskich i wiejskich oraz wspierać zrównoważone wdrażanie usług cyfrowych.</w:t>
      </w:r>
    </w:p>
    <w:p w14:paraId="0FBE8787" w14:textId="4C2E2C90" w:rsidR="00124685" w:rsidRPr="00124685" w:rsidRDefault="00124685" w:rsidP="00124685">
      <w:pPr>
        <w:rPr>
          <w:sz w:val="22"/>
          <w:szCs w:val="22"/>
          <w:lang w:val="pl-PL"/>
        </w:rPr>
      </w:pPr>
      <w:r w:rsidRPr="00124685">
        <w:rPr>
          <w:sz w:val="22"/>
          <w:szCs w:val="22"/>
          <w:lang w:val="pl-PL"/>
        </w:rPr>
        <w:t>Poza podstawową działalnością związaną z wieżami i lokalizacjami telekomunikacyjnymi Cellnex oferuje szeroki zakres rozwiązań w dziedzinie łączności, obejmujący transmisję radiową i telewizyjną, sieci ratunkowe i bezpieczeństwa publicznego, zasięg wewnątrz budynków w złożonych środowiskach oraz infrastrukturę dla sieci transportowych.</w:t>
      </w:r>
    </w:p>
    <w:p w14:paraId="4B391999" w14:textId="1B61F853" w:rsidR="00A84171" w:rsidRDefault="00124685" w:rsidP="00124685">
      <w:pPr>
        <w:rPr>
          <w:sz w:val="22"/>
          <w:szCs w:val="22"/>
          <w:lang w:val="pl-PL"/>
        </w:rPr>
      </w:pPr>
      <w:r w:rsidRPr="00124685">
        <w:rPr>
          <w:sz w:val="22"/>
          <w:szCs w:val="22"/>
          <w:lang w:val="pl-PL"/>
        </w:rPr>
        <w:t>Cellnex zarządza portfelem ponad 115 000 lokalizacji – bez uwzględnienia obiektów, których realizację zaplanowano do 2030 r. – w dziesięciu krajach europejskich, z silną obecnością w Hiszpanii, Francji, Wielkiej Brytanii, Włoszech i Polsce. Cellnex jest notowany na hiszpańskiej giełdzie, wchodzi w skład indeksów IBEX 35 i Euro Stoxx 100 oraz zajmuje znaczące pozycje w czołowych indeksach i rankingach zrównoważonego rozwoju, takich jak Sustainalytics, MSCI, S&amp;P Global CSA, EcoVadis i CDP.</w:t>
      </w:r>
    </w:p>
    <w:p w14:paraId="09CD090D" w14:textId="466352DD" w:rsidR="00124685" w:rsidRPr="002A1613" w:rsidRDefault="002A1613" w:rsidP="002A1613">
      <w:pPr>
        <w:rPr>
          <w:sz w:val="22"/>
          <w:szCs w:val="22"/>
          <w:lang w:val="pl-PL"/>
        </w:rPr>
      </w:pPr>
      <w:r w:rsidRPr="002A1613">
        <w:rPr>
          <w:sz w:val="22"/>
          <w:szCs w:val="22"/>
          <w:lang w:val="pl-PL"/>
        </w:rPr>
        <w:t>W Polsce Cellnex świadczy usługi zarządzania infrastrukturą telekomunikacyjną na rzecz Play i Polkomtel, służb mundurowych, administracji, czy też operatorów infrastruktury krytycznej oraz podmiotów komercyjnych w zakresie wewnątrzbudynkowej infrastruktury telekomunikacyjnej.</w:t>
      </w:r>
    </w:p>
    <w:p w14:paraId="5BF344CD" w14:textId="739F8E9A" w:rsidR="00D9742B" w:rsidRPr="00124685" w:rsidRDefault="00124685" w:rsidP="00B5046B">
      <w:pPr>
        <w:widowControl w:val="0"/>
        <w:spacing w:after="0" w:line="240" w:lineRule="auto"/>
        <w:ind w:right="539"/>
        <w:rPr>
          <w:lang w:val="pl-PL"/>
        </w:rPr>
      </w:pPr>
      <w:r w:rsidRPr="00124685">
        <w:rPr>
          <w:color w:val="549A0C"/>
          <w:spacing w:val="0"/>
          <w:sz w:val="22"/>
          <w:szCs w:val="22"/>
          <w:lang w:val="pl-PL" w:eastAsia="ca-ES"/>
        </w:rPr>
        <w:t xml:space="preserve">Więcej informacji dostępne jest </w:t>
      </w:r>
      <w:r>
        <w:rPr>
          <w:color w:val="549A0C"/>
          <w:spacing w:val="0"/>
          <w:sz w:val="22"/>
          <w:szCs w:val="22"/>
          <w:lang w:val="pl-PL" w:eastAsia="ca-ES"/>
        </w:rPr>
        <w:t>na stronie</w:t>
      </w:r>
      <w:r w:rsidR="00B5046B" w:rsidRPr="00124685">
        <w:rPr>
          <w:color w:val="549A0C"/>
          <w:spacing w:val="0"/>
          <w:sz w:val="22"/>
          <w:szCs w:val="22"/>
          <w:lang w:val="pl-PL" w:eastAsia="ca-ES"/>
        </w:rPr>
        <w:t xml:space="preserve">: </w:t>
      </w:r>
      <w:hyperlink r:id="rId12" w:history="1">
        <w:r w:rsidR="00B5046B" w:rsidRPr="00124685">
          <w:rPr>
            <w:rStyle w:val="Hyperlink"/>
            <w:sz w:val="22"/>
            <w:szCs w:val="22"/>
            <w:lang w:val="pl-PL"/>
          </w:rPr>
          <w:t>Cellnex</w:t>
        </w:r>
        <w:bookmarkEnd w:id="0"/>
      </w:hyperlink>
    </w:p>
    <w:p w14:paraId="1EA3602A" w14:textId="77777777" w:rsidR="00416FEB" w:rsidRPr="00124685" w:rsidRDefault="00416FEB" w:rsidP="00B5046B">
      <w:pPr>
        <w:widowControl w:val="0"/>
        <w:spacing w:after="0" w:line="240" w:lineRule="auto"/>
        <w:ind w:right="539"/>
        <w:rPr>
          <w:lang w:val="pl-PL"/>
        </w:rPr>
      </w:pPr>
    </w:p>
    <w:p w14:paraId="721B5A9D" w14:textId="08637024" w:rsidR="00124685" w:rsidRDefault="00124685" w:rsidP="3A8D1FF1">
      <w:pPr>
        <w:spacing w:before="200" w:after="120"/>
        <w:rPr>
          <w:b/>
          <w:bCs/>
          <w:color w:val="549A0C"/>
          <w:sz w:val="24"/>
          <w:szCs w:val="24"/>
          <w:lang w:val="pl-PL" w:eastAsia="ca-ES"/>
        </w:rPr>
      </w:pPr>
    </w:p>
    <w:p w14:paraId="67264E08" w14:textId="29040EF4" w:rsidR="00124685" w:rsidRPr="00585D30" w:rsidRDefault="00124685" w:rsidP="009D7048">
      <w:pPr>
        <w:spacing w:before="200" w:after="120"/>
        <w:rPr>
          <w:lang w:val="pl-PL"/>
        </w:rPr>
      </w:pPr>
      <w:r w:rsidRPr="00585D30">
        <w:rPr>
          <w:lang w:val="pl-PL"/>
        </w:rPr>
        <w:br w:type="page"/>
      </w:r>
    </w:p>
    <w:p w14:paraId="56E59488" w14:textId="77777777" w:rsidR="00124685" w:rsidRDefault="6998CC5A" w:rsidP="3A8D1FF1">
      <w:pPr>
        <w:spacing w:before="200" w:after="120"/>
        <w:rPr>
          <w:b/>
          <w:bCs/>
          <w:color w:val="549A0C"/>
          <w:spacing w:val="0"/>
          <w:sz w:val="24"/>
          <w:szCs w:val="24"/>
          <w:lang w:val="pl-PL" w:eastAsia="ca-ES"/>
        </w:rPr>
      </w:pPr>
      <w:r w:rsidRPr="00124685">
        <w:rPr>
          <w:b/>
          <w:bCs/>
          <w:color w:val="549A0C"/>
          <w:spacing w:val="0"/>
          <w:sz w:val="24"/>
          <w:szCs w:val="24"/>
          <w:lang w:val="pl-PL" w:eastAsia="ca-ES"/>
        </w:rPr>
        <w:lastRenderedPageBreak/>
        <w:t>Załącznik 1. Uzupełniające informacje finansowe z prezentacji wyników za pierwsze półrocze 2026 r.</w:t>
      </w:r>
    </w:p>
    <w:p w14:paraId="42632FF9" w14:textId="77777777" w:rsidR="00B04274" w:rsidRDefault="00B04274" w:rsidP="009D7048">
      <w:pPr>
        <w:spacing w:before="200" w:after="120"/>
        <w:rPr>
          <w:b/>
          <w:bCs/>
          <w:color w:val="262626" w:themeColor="text1" w:themeTint="D9"/>
          <w:sz w:val="22"/>
          <w:szCs w:val="22"/>
          <w:lang w:val="pl-PL"/>
        </w:rPr>
      </w:pPr>
      <w:r w:rsidRPr="00B04274">
        <w:rPr>
          <w:b/>
          <w:bCs/>
          <w:color w:val="262626" w:themeColor="text1" w:themeTint="D9"/>
          <w:sz w:val="22"/>
          <w:szCs w:val="22"/>
          <w:lang w:val="pl-PL"/>
        </w:rPr>
        <w:t>Przychody do FCF</w:t>
      </w:r>
    </w:p>
    <w:p w14:paraId="55E60EEA" w14:textId="7A783905" w:rsidR="00F84E54" w:rsidRPr="00124685" w:rsidRDefault="00B04274" w:rsidP="009D7048">
      <w:pPr>
        <w:spacing w:before="200" w:after="120"/>
        <w:rPr>
          <w:b/>
          <w:bCs/>
          <w:color w:val="549A0C"/>
          <w:sz w:val="22"/>
          <w:szCs w:val="22"/>
          <w:lang w:val="pl-PL"/>
        </w:rPr>
      </w:pPr>
      <w:r>
        <w:rPr>
          <w:noProof/>
        </w:rPr>
        <w:drawing>
          <wp:anchor distT="0" distB="0" distL="114300" distR="114300" simplePos="0" relativeHeight="251660292" behindDoc="0" locked="0" layoutInCell="1" allowOverlap="1" wp14:anchorId="71306E92" wp14:editId="6A0EDDAF">
            <wp:simplePos x="0" y="0"/>
            <wp:positionH relativeFrom="column">
              <wp:posOffset>0</wp:posOffset>
            </wp:positionH>
            <wp:positionV relativeFrom="paragraph">
              <wp:posOffset>-635</wp:posOffset>
            </wp:positionV>
            <wp:extent cx="4143375" cy="4121785"/>
            <wp:effectExtent l="0" t="0" r="9525" b="0"/>
            <wp:wrapNone/>
            <wp:docPr id="1317609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09786" name="Imagen 1"/>
                    <pic:cNvPicPr>
                      <a:picLocks noChangeAspect="1"/>
                    </pic:cNvPicPr>
                  </pic:nvPicPr>
                  <pic:blipFill>
                    <a:blip r:embed="rId13"/>
                    <a:stretch>
                      <a:fillRect/>
                    </a:stretch>
                  </pic:blipFill>
                  <pic:spPr>
                    <a:xfrm>
                      <a:off x="0" y="0"/>
                      <a:ext cx="4143375" cy="4121785"/>
                    </a:xfrm>
                    <a:prstGeom prst="rect">
                      <a:avLst/>
                    </a:prstGeom>
                  </pic:spPr>
                </pic:pic>
              </a:graphicData>
            </a:graphic>
          </wp:anchor>
        </w:drawing>
      </w:r>
      <w:r>
        <w:rPr>
          <w:noProof/>
        </w:rPr>
        <w:drawing>
          <wp:anchor distT="0" distB="0" distL="114300" distR="114300" simplePos="0" relativeHeight="251661316" behindDoc="0" locked="0" layoutInCell="1" allowOverlap="1" wp14:anchorId="575B6C26" wp14:editId="6950C505">
            <wp:simplePos x="0" y="0"/>
            <wp:positionH relativeFrom="column">
              <wp:posOffset>0</wp:posOffset>
            </wp:positionH>
            <wp:positionV relativeFrom="paragraph">
              <wp:posOffset>4409440</wp:posOffset>
            </wp:positionV>
            <wp:extent cx="4152900" cy="2944495"/>
            <wp:effectExtent l="0" t="0" r="0" b="8255"/>
            <wp:wrapNone/>
            <wp:docPr id="2028261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61270" name="Imagen 1"/>
                    <pic:cNvPicPr>
                      <a:picLocks noChangeAspect="1"/>
                    </pic:cNvPicPr>
                  </pic:nvPicPr>
                  <pic:blipFill>
                    <a:blip r:embed="rId14"/>
                    <a:stretch>
                      <a:fillRect/>
                    </a:stretch>
                  </pic:blipFill>
                  <pic:spPr>
                    <a:xfrm>
                      <a:off x="0" y="0"/>
                      <a:ext cx="4152900" cy="2944495"/>
                    </a:xfrm>
                    <a:prstGeom prst="rect">
                      <a:avLst/>
                    </a:prstGeom>
                  </pic:spPr>
                </pic:pic>
              </a:graphicData>
            </a:graphic>
          </wp:anchor>
        </w:drawing>
      </w:r>
    </w:p>
    <w:p w14:paraId="5B7974AA" w14:textId="7CE66C15" w:rsidR="002D6E59" w:rsidRPr="00124685" w:rsidRDefault="002D6E59" w:rsidP="00283791">
      <w:pPr>
        <w:spacing w:before="200" w:after="120"/>
        <w:ind w:left="708"/>
        <w:rPr>
          <w:b/>
          <w:bCs/>
          <w:color w:val="549A0C"/>
          <w:sz w:val="26"/>
          <w:szCs w:val="26"/>
          <w:lang w:val="pl-PL"/>
        </w:rPr>
      </w:pPr>
    </w:p>
    <w:p w14:paraId="5D7D74F9" w14:textId="1CD65D7D" w:rsidR="002D6E59" w:rsidRPr="00124685" w:rsidRDefault="002D6E59" w:rsidP="002D6E59">
      <w:pPr>
        <w:spacing w:before="200" w:after="120"/>
        <w:rPr>
          <w:b/>
          <w:bCs/>
          <w:color w:val="549A0C"/>
          <w:sz w:val="26"/>
          <w:szCs w:val="26"/>
          <w:lang w:val="pl-PL"/>
        </w:rPr>
      </w:pPr>
    </w:p>
    <w:p w14:paraId="30FD5EC8" w14:textId="5343618C" w:rsidR="002D6E59" w:rsidRPr="00124685" w:rsidRDefault="002D6E59" w:rsidP="002D6E59">
      <w:pPr>
        <w:spacing w:before="200" w:after="120"/>
        <w:rPr>
          <w:b/>
          <w:bCs/>
          <w:color w:val="549A0C"/>
          <w:sz w:val="26"/>
          <w:szCs w:val="26"/>
          <w:lang w:val="pl-PL"/>
        </w:rPr>
      </w:pPr>
    </w:p>
    <w:p w14:paraId="63F5C250" w14:textId="53609541" w:rsidR="009D7048" w:rsidRPr="00124685" w:rsidRDefault="007E6D58" w:rsidP="007E6D58">
      <w:pPr>
        <w:tabs>
          <w:tab w:val="left" w:pos="1455"/>
        </w:tabs>
        <w:spacing w:before="200" w:after="120"/>
        <w:rPr>
          <w:b/>
          <w:bCs/>
          <w:color w:val="549A0C"/>
          <w:sz w:val="26"/>
          <w:szCs w:val="26"/>
          <w:lang w:val="pl-PL"/>
        </w:rPr>
      </w:pPr>
      <w:r w:rsidRPr="00124685">
        <w:rPr>
          <w:b/>
          <w:bCs/>
          <w:color w:val="549A0C"/>
          <w:sz w:val="26"/>
          <w:szCs w:val="26"/>
          <w:lang w:val="pl-PL"/>
        </w:rPr>
        <w:tab/>
      </w:r>
    </w:p>
    <w:p w14:paraId="3AAC1C50" w14:textId="3D99BF4A" w:rsidR="00675F5A" w:rsidRPr="00124685" w:rsidRDefault="00675F5A" w:rsidP="002D6E59">
      <w:pPr>
        <w:spacing w:before="200" w:after="120"/>
        <w:rPr>
          <w:b/>
          <w:bCs/>
          <w:color w:val="262626" w:themeColor="text1" w:themeTint="D9"/>
          <w:sz w:val="22"/>
          <w:szCs w:val="22"/>
          <w:lang w:val="pl-PL"/>
        </w:rPr>
      </w:pPr>
    </w:p>
    <w:p w14:paraId="541F6A06" w14:textId="48A6A63F" w:rsidR="00CB3494" w:rsidRPr="00124685" w:rsidRDefault="00CB3494" w:rsidP="3A8D1FF1">
      <w:pPr>
        <w:spacing w:before="200" w:after="120"/>
        <w:rPr>
          <w:b/>
          <w:bCs/>
          <w:color w:val="262626" w:themeColor="text1" w:themeTint="D9"/>
          <w:sz w:val="22"/>
          <w:szCs w:val="22"/>
          <w:lang w:val="pl-PL"/>
        </w:rPr>
      </w:pPr>
    </w:p>
    <w:p w14:paraId="1150292F" w14:textId="78928AE2" w:rsidR="002D1CAF" w:rsidRDefault="002D1CAF" w:rsidP="002D1CAF">
      <w:pPr>
        <w:spacing w:after="0" w:line="240" w:lineRule="auto"/>
        <w:jc w:val="left"/>
        <w:rPr>
          <w:b/>
          <w:bCs/>
          <w:color w:val="262626" w:themeColor="text1" w:themeTint="D9"/>
          <w:sz w:val="22"/>
          <w:szCs w:val="22"/>
          <w:lang w:val="pl-PL"/>
        </w:rPr>
      </w:pPr>
    </w:p>
    <w:p w14:paraId="6A24D952" w14:textId="77777777" w:rsidR="002D1CAF" w:rsidRDefault="002D1CAF" w:rsidP="002D1CAF">
      <w:pPr>
        <w:spacing w:after="0" w:line="240" w:lineRule="auto"/>
        <w:jc w:val="left"/>
        <w:rPr>
          <w:b/>
          <w:bCs/>
          <w:color w:val="262626" w:themeColor="text1" w:themeTint="D9"/>
          <w:sz w:val="22"/>
          <w:szCs w:val="22"/>
          <w:lang w:val="pl-PL"/>
        </w:rPr>
      </w:pPr>
    </w:p>
    <w:p w14:paraId="41B57A29" w14:textId="77777777" w:rsidR="002D1CAF" w:rsidRDefault="002D1CAF" w:rsidP="002D1CAF">
      <w:pPr>
        <w:spacing w:after="0" w:line="240" w:lineRule="auto"/>
        <w:jc w:val="left"/>
        <w:rPr>
          <w:b/>
          <w:bCs/>
          <w:color w:val="262626" w:themeColor="text1" w:themeTint="D9"/>
          <w:sz w:val="22"/>
          <w:szCs w:val="22"/>
          <w:lang w:val="pl-PL"/>
        </w:rPr>
      </w:pPr>
    </w:p>
    <w:p w14:paraId="3863AAA5" w14:textId="77777777" w:rsidR="002D1CAF" w:rsidRDefault="002D1CAF" w:rsidP="002D1CAF">
      <w:pPr>
        <w:spacing w:after="0" w:line="240" w:lineRule="auto"/>
        <w:jc w:val="left"/>
        <w:rPr>
          <w:b/>
          <w:bCs/>
          <w:color w:val="262626" w:themeColor="text1" w:themeTint="D9"/>
          <w:sz w:val="22"/>
          <w:szCs w:val="22"/>
          <w:lang w:val="pl-PL"/>
        </w:rPr>
      </w:pPr>
    </w:p>
    <w:p w14:paraId="05C4942A" w14:textId="77777777" w:rsidR="002D1CAF" w:rsidRDefault="002D1CAF" w:rsidP="002D1CAF">
      <w:pPr>
        <w:spacing w:after="0" w:line="240" w:lineRule="auto"/>
        <w:jc w:val="left"/>
        <w:rPr>
          <w:b/>
          <w:bCs/>
          <w:color w:val="262626" w:themeColor="text1" w:themeTint="D9"/>
          <w:sz w:val="22"/>
          <w:szCs w:val="22"/>
          <w:lang w:val="pl-PL"/>
        </w:rPr>
      </w:pPr>
    </w:p>
    <w:p w14:paraId="253B2F50" w14:textId="77777777" w:rsidR="002D1CAF" w:rsidRDefault="002D1CAF" w:rsidP="002D1CAF">
      <w:pPr>
        <w:spacing w:after="0" w:line="240" w:lineRule="auto"/>
        <w:jc w:val="left"/>
        <w:rPr>
          <w:b/>
          <w:bCs/>
          <w:color w:val="262626" w:themeColor="text1" w:themeTint="D9"/>
          <w:sz w:val="22"/>
          <w:szCs w:val="22"/>
          <w:lang w:val="pl-PL"/>
        </w:rPr>
      </w:pPr>
    </w:p>
    <w:p w14:paraId="5F20395A" w14:textId="77777777" w:rsidR="002D1CAF" w:rsidRDefault="002D1CAF" w:rsidP="002D1CAF">
      <w:pPr>
        <w:spacing w:after="0" w:line="240" w:lineRule="auto"/>
        <w:jc w:val="left"/>
        <w:rPr>
          <w:b/>
          <w:bCs/>
          <w:color w:val="262626" w:themeColor="text1" w:themeTint="D9"/>
          <w:sz w:val="22"/>
          <w:szCs w:val="22"/>
          <w:lang w:val="pl-PL"/>
        </w:rPr>
      </w:pPr>
    </w:p>
    <w:p w14:paraId="0E96CDD9" w14:textId="77777777" w:rsidR="002D1CAF" w:rsidRDefault="002D1CAF" w:rsidP="002D1CAF">
      <w:pPr>
        <w:spacing w:after="0" w:line="240" w:lineRule="auto"/>
        <w:jc w:val="left"/>
        <w:rPr>
          <w:b/>
          <w:bCs/>
          <w:color w:val="262626" w:themeColor="text1" w:themeTint="D9"/>
          <w:sz w:val="22"/>
          <w:szCs w:val="22"/>
          <w:lang w:val="pl-PL"/>
        </w:rPr>
      </w:pPr>
    </w:p>
    <w:p w14:paraId="5037516D" w14:textId="77777777" w:rsidR="002D1CAF" w:rsidRDefault="002D1CAF" w:rsidP="002D1CAF">
      <w:pPr>
        <w:spacing w:after="0" w:line="240" w:lineRule="auto"/>
        <w:jc w:val="left"/>
        <w:rPr>
          <w:b/>
          <w:bCs/>
          <w:color w:val="262626" w:themeColor="text1" w:themeTint="D9"/>
          <w:sz w:val="22"/>
          <w:szCs w:val="22"/>
          <w:lang w:val="pl-PL"/>
        </w:rPr>
      </w:pPr>
    </w:p>
    <w:p w14:paraId="25ABE910" w14:textId="77777777" w:rsidR="002D1CAF" w:rsidRDefault="002D1CAF" w:rsidP="002D1CAF">
      <w:pPr>
        <w:spacing w:after="0" w:line="240" w:lineRule="auto"/>
        <w:jc w:val="left"/>
        <w:rPr>
          <w:b/>
          <w:bCs/>
          <w:color w:val="262626" w:themeColor="text1" w:themeTint="D9"/>
          <w:sz w:val="22"/>
          <w:szCs w:val="22"/>
          <w:lang w:val="pl-PL"/>
        </w:rPr>
      </w:pPr>
    </w:p>
    <w:p w14:paraId="47A345F1" w14:textId="77777777" w:rsidR="002D1CAF" w:rsidRDefault="002D1CAF" w:rsidP="002D1CAF">
      <w:pPr>
        <w:spacing w:after="0" w:line="240" w:lineRule="auto"/>
        <w:jc w:val="left"/>
        <w:rPr>
          <w:b/>
          <w:bCs/>
          <w:color w:val="262626" w:themeColor="text1" w:themeTint="D9"/>
          <w:sz w:val="22"/>
          <w:szCs w:val="22"/>
          <w:lang w:val="pl-PL"/>
        </w:rPr>
      </w:pPr>
    </w:p>
    <w:p w14:paraId="61E56D6D" w14:textId="77777777" w:rsidR="002D1CAF" w:rsidRDefault="002D1CAF" w:rsidP="002D1CAF">
      <w:pPr>
        <w:spacing w:after="0" w:line="240" w:lineRule="auto"/>
        <w:jc w:val="left"/>
        <w:rPr>
          <w:b/>
          <w:bCs/>
          <w:color w:val="262626" w:themeColor="text1" w:themeTint="D9"/>
          <w:sz w:val="22"/>
          <w:szCs w:val="22"/>
          <w:lang w:val="pl-PL"/>
        </w:rPr>
      </w:pPr>
    </w:p>
    <w:p w14:paraId="5685C15C" w14:textId="77777777" w:rsidR="002D1CAF" w:rsidRDefault="002D1CAF" w:rsidP="002D1CAF">
      <w:pPr>
        <w:spacing w:after="0" w:line="240" w:lineRule="auto"/>
        <w:jc w:val="left"/>
        <w:rPr>
          <w:b/>
          <w:bCs/>
          <w:color w:val="262626" w:themeColor="text1" w:themeTint="D9"/>
          <w:sz w:val="22"/>
          <w:szCs w:val="22"/>
          <w:lang w:val="pl-PL"/>
        </w:rPr>
      </w:pPr>
    </w:p>
    <w:p w14:paraId="6A283F64" w14:textId="77777777" w:rsidR="002D1CAF" w:rsidRDefault="002D1CAF" w:rsidP="002D1CAF">
      <w:pPr>
        <w:spacing w:after="0" w:line="240" w:lineRule="auto"/>
        <w:jc w:val="left"/>
        <w:rPr>
          <w:b/>
          <w:bCs/>
          <w:color w:val="262626" w:themeColor="text1" w:themeTint="D9"/>
          <w:sz w:val="22"/>
          <w:szCs w:val="22"/>
          <w:lang w:val="pl-PL"/>
        </w:rPr>
      </w:pPr>
    </w:p>
    <w:p w14:paraId="13637DC7" w14:textId="77777777" w:rsidR="002D1CAF" w:rsidRDefault="002D1CAF" w:rsidP="002D1CAF">
      <w:pPr>
        <w:spacing w:after="0" w:line="240" w:lineRule="auto"/>
        <w:jc w:val="left"/>
        <w:rPr>
          <w:b/>
          <w:bCs/>
          <w:color w:val="262626" w:themeColor="text1" w:themeTint="D9"/>
          <w:sz w:val="22"/>
          <w:szCs w:val="22"/>
          <w:lang w:val="pl-PL"/>
        </w:rPr>
      </w:pPr>
    </w:p>
    <w:p w14:paraId="0EFCDF18" w14:textId="77777777" w:rsidR="002D1CAF" w:rsidRDefault="002D1CAF" w:rsidP="002D1CAF">
      <w:pPr>
        <w:spacing w:after="0" w:line="240" w:lineRule="auto"/>
        <w:jc w:val="left"/>
        <w:rPr>
          <w:b/>
          <w:bCs/>
          <w:color w:val="262626" w:themeColor="text1" w:themeTint="D9"/>
          <w:sz w:val="22"/>
          <w:szCs w:val="22"/>
          <w:lang w:val="pl-PL"/>
        </w:rPr>
      </w:pPr>
    </w:p>
    <w:p w14:paraId="565B123A" w14:textId="77777777" w:rsidR="002D1CAF" w:rsidRDefault="002D1CAF" w:rsidP="002D1CAF">
      <w:pPr>
        <w:spacing w:after="0" w:line="240" w:lineRule="auto"/>
        <w:jc w:val="left"/>
        <w:rPr>
          <w:b/>
          <w:bCs/>
          <w:color w:val="262626" w:themeColor="text1" w:themeTint="D9"/>
          <w:sz w:val="22"/>
          <w:szCs w:val="22"/>
          <w:lang w:val="pl-PL"/>
        </w:rPr>
      </w:pPr>
    </w:p>
    <w:p w14:paraId="773891FF" w14:textId="77777777" w:rsidR="002D1CAF" w:rsidRDefault="002D1CAF" w:rsidP="002D1CAF">
      <w:pPr>
        <w:spacing w:after="0" w:line="240" w:lineRule="auto"/>
        <w:jc w:val="left"/>
        <w:rPr>
          <w:b/>
          <w:bCs/>
          <w:color w:val="262626" w:themeColor="text1" w:themeTint="D9"/>
          <w:sz w:val="22"/>
          <w:szCs w:val="22"/>
          <w:lang w:val="pl-PL"/>
        </w:rPr>
      </w:pPr>
    </w:p>
    <w:p w14:paraId="10A15C55" w14:textId="77777777" w:rsidR="002D1CAF" w:rsidRDefault="002D1CAF" w:rsidP="002D1CAF">
      <w:pPr>
        <w:spacing w:after="0" w:line="240" w:lineRule="auto"/>
        <w:jc w:val="left"/>
        <w:rPr>
          <w:b/>
          <w:bCs/>
          <w:color w:val="262626" w:themeColor="text1" w:themeTint="D9"/>
          <w:sz w:val="22"/>
          <w:szCs w:val="22"/>
          <w:lang w:val="pl-PL"/>
        </w:rPr>
      </w:pPr>
    </w:p>
    <w:p w14:paraId="113884A0" w14:textId="77777777" w:rsidR="002D1CAF" w:rsidRDefault="002D1CAF" w:rsidP="002D1CAF">
      <w:pPr>
        <w:spacing w:after="0" w:line="240" w:lineRule="auto"/>
        <w:jc w:val="left"/>
        <w:rPr>
          <w:b/>
          <w:bCs/>
          <w:color w:val="262626" w:themeColor="text1" w:themeTint="D9"/>
          <w:sz w:val="22"/>
          <w:szCs w:val="22"/>
          <w:lang w:val="pl-PL"/>
        </w:rPr>
      </w:pPr>
    </w:p>
    <w:p w14:paraId="6B6D68D7" w14:textId="77777777" w:rsidR="002D1CAF" w:rsidRDefault="002D1CAF" w:rsidP="002D1CAF">
      <w:pPr>
        <w:spacing w:after="0" w:line="240" w:lineRule="auto"/>
        <w:jc w:val="left"/>
        <w:rPr>
          <w:b/>
          <w:bCs/>
          <w:color w:val="262626" w:themeColor="text1" w:themeTint="D9"/>
          <w:sz w:val="22"/>
          <w:szCs w:val="22"/>
          <w:lang w:val="pl-PL"/>
        </w:rPr>
      </w:pPr>
    </w:p>
    <w:p w14:paraId="1FCB078A" w14:textId="77777777" w:rsidR="002D1CAF" w:rsidRDefault="002D1CAF" w:rsidP="002D1CAF">
      <w:pPr>
        <w:spacing w:after="0" w:line="240" w:lineRule="auto"/>
        <w:jc w:val="left"/>
        <w:rPr>
          <w:b/>
          <w:bCs/>
          <w:color w:val="262626" w:themeColor="text1" w:themeTint="D9"/>
          <w:sz w:val="22"/>
          <w:szCs w:val="22"/>
          <w:lang w:val="pl-PL"/>
        </w:rPr>
      </w:pPr>
    </w:p>
    <w:p w14:paraId="74051982" w14:textId="77777777" w:rsidR="002D1CAF" w:rsidRDefault="002D1CAF" w:rsidP="002D1CAF">
      <w:pPr>
        <w:spacing w:after="0" w:line="240" w:lineRule="auto"/>
        <w:jc w:val="left"/>
        <w:rPr>
          <w:b/>
          <w:bCs/>
          <w:color w:val="262626" w:themeColor="text1" w:themeTint="D9"/>
          <w:sz w:val="22"/>
          <w:szCs w:val="22"/>
          <w:lang w:val="pl-PL"/>
        </w:rPr>
      </w:pPr>
    </w:p>
    <w:p w14:paraId="22B353F5" w14:textId="77777777" w:rsidR="002D1CAF" w:rsidRDefault="002D1CAF" w:rsidP="002D1CAF">
      <w:pPr>
        <w:spacing w:after="0" w:line="240" w:lineRule="auto"/>
        <w:jc w:val="left"/>
        <w:rPr>
          <w:b/>
          <w:bCs/>
          <w:color w:val="262626" w:themeColor="text1" w:themeTint="D9"/>
          <w:sz w:val="22"/>
          <w:szCs w:val="22"/>
          <w:lang w:val="pl-PL"/>
        </w:rPr>
      </w:pPr>
    </w:p>
    <w:p w14:paraId="74111C64" w14:textId="77777777" w:rsidR="002D1CAF" w:rsidRDefault="002D1CAF" w:rsidP="002D1CAF">
      <w:pPr>
        <w:spacing w:after="0" w:line="240" w:lineRule="auto"/>
        <w:jc w:val="left"/>
        <w:rPr>
          <w:b/>
          <w:bCs/>
          <w:color w:val="262626" w:themeColor="text1" w:themeTint="D9"/>
          <w:sz w:val="22"/>
          <w:szCs w:val="22"/>
          <w:lang w:val="pl-PL"/>
        </w:rPr>
      </w:pPr>
    </w:p>
    <w:p w14:paraId="4058907C" w14:textId="77777777" w:rsidR="002D1CAF" w:rsidRDefault="002D1CAF" w:rsidP="002D1CAF">
      <w:pPr>
        <w:spacing w:after="0" w:line="240" w:lineRule="auto"/>
        <w:jc w:val="left"/>
        <w:rPr>
          <w:b/>
          <w:bCs/>
          <w:color w:val="262626" w:themeColor="text1" w:themeTint="D9"/>
          <w:sz w:val="22"/>
          <w:szCs w:val="22"/>
          <w:lang w:val="pl-PL"/>
        </w:rPr>
      </w:pPr>
    </w:p>
    <w:p w14:paraId="55E2DC42" w14:textId="7FB38C53" w:rsidR="002D1CAF" w:rsidRDefault="002D1CAF" w:rsidP="002D1CAF">
      <w:pPr>
        <w:spacing w:after="0" w:line="240" w:lineRule="auto"/>
        <w:jc w:val="left"/>
        <w:rPr>
          <w:b/>
          <w:bCs/>
          <w:color w:val="262626" w:themeColor="text1" w:themeTint="D9"/>
          <w:sz w:val="22"/>
          <w:szCs w:val="22"/>
          <w:lang w:val="pl-PL"/>
        </w:rPr>
      </w:pPr>
    </w:p>
    <w:p w14:paraId="68975C16" w14:textId="31D8A450" w:rsidR="002D1CAF" w:rsidRDefault="002D1CAF" w:rsidP="002D1CAF">
      <w:pPr>
        <w:spacing w:after="0" w:line="240" w:lineRule="auto"/>
        <w:jc w:val="left"/>
        <w:rPr>
          <w:b/>
          <w:bCs/>
          <w:color w:val="262626" w:themeColor="text1" w:themeTint="D9"/>
          <w:sz w:val="22"/>
          <w:szCs w:val="22"/>
          <w:lang w:val="pl-PL"/>
        </w:rPr>
      </w:pPr>
    </w:p>
    <w:p w14:paraId="5351712E" w14:textId="5D7F52A6" w:rsidR="00226FD0" w:rsidRDefault="00226FD0">
      <w:pPr>
        <w:spacing w:after="0" w:line="240" w:lineRule="auto"/>
        <w:jc w:val="left"/>
        <w:rPr>
          <w:b/>
          <w:bCs/>
          <w:color w:val="262626" w:themeColor="text1" w:themeTint="D9"/>
          <w:sz w:val="22"/>
          <w:szCs w:val="22"/>
          <w:lang w:val="pl-PL"/>
        </w:rPr>
      </w:pPr>
      <w:r>
        <w:rPr>
          <w:b/>
          <w:bCs/>
          <w:color w:val="262626" w:themeColor="text1" w:themeTint="D9"/>
          <w:sz w:val="22"/>
          <w:szCs w:val="22"/>
          <w:lang w:val="pl-PL"/>
        </w:rPr>
        <w:br w:type="page"/>
      </w:r>
    </w:p>
    <w:p w14:paraId="685C5298" w14:textId="78D9E3E5" w:rsidR="00124685" w:rsidRDefault="00124685" w:rsidP="009D6417">
      <w:pPr>
        <w:spacing w:before="200" w:after="120"/>
        <w:rPr>
          <w:b/>
          <w:bCs/>
          <w:color w:val="262626" w:themeColor="text1" w:themeTint="D9"/>
          <w:sz w:val="22"/>
          <w:szCs w:val="22"/>
          <w:lang w:val="pl-PL"/>
        </w:rPr>
      </w:pPr>
      <w:r w:rsidRPr="00124685">
        <w:rPr>
          <w:b/>
          <w:bCs/>
          <w:color w:val="262626" w:themeColor="text1" w:themeTint="D9"/>
          <w:sz w:val="22"/>
          <w:szCs w:val="22"/>
          <w:lang w:val="pl-PL"/>
        </w:rPr>
        <w:lastRenderedPageBreak/>
        <w:t>Rachunek zysków i strat</w:t>
      </w:r>
    </w:p>
    <w:p w14:paraId="74852529" w14:textId="0D30FB8F" w:rsidR="002D6E59" w:rsidRPr="00124685" w:rsidRDefault="00CB3494" w:rsidP="009D6417">
      <w:pPr>
        <w:spacing w:before="200" w:after="120"/>
        <w:rPr>
          <w:b/>
          <w:color w:val="549A0C"/>
          <w:sz w:val="26"/>
          <w:lang w:val="pl-PL"/>
        </w:rPr>
      </w:pPr>
      <w:r>
        <w:rPr>
          <w:b/>
          <w:bCs/>
          <w:noProof/>
          <w:color w:val="549A0C"/>
          <w:spacing w:val="0"/>
          <w:sz w:val="22"/>
          <w:szCs w:val="22"/>
          <w:lang w:val="en-GB" w:eastAsia="ca-ES"/>
        </w:rPr>
        <w:drawing>
          <wp:anchor distT="0" distB="0" distL="114300" distR="114300" simplePos="0" relativeHeight="251650560" behindDoc="1" locked="0" layoutInCell="1" allowOverlap="1" wp14:anchorId="3463FCDA" wp14:editId="51865342">
            <wp:simplePos x="0" y="0"/>
            <wp:positionH relativeFrom="margin">
              <wp:align>left</wp:align>
            </wp:positionH>
            <wp:positionV relativeFrom="paragraph">
              <wp:posOffset>53975</wp:posOffset>
            </wp:positionV>
            <wp:extent cx="4486910" cy="3115310"/>
            <wp:effectExtent l="0" t="0" r="8890" b="8890"/>
            <wp:wrapTight wrapText="bothSides">
              <wp:wrapPolygon edited="0">
                <wp:start x="15315" y="0"/>
                <wp:lineTo x="0" y="396"/>
                <wp:lineTo x="0" y="21530"/>
                <wp:lineTo x="21551" y="21530"/>
                <wp:lineTo x="21551" y="19548"/>
                <wp:lineTo x="20359" y="19152"/>
                <wp:lineTo x="21551" y="18492"/>
                <wp:lineTo x="21551" y="8982"/>
                <wp:lineTo x="20359" y="8585"/>
                <wp:lineTo x="21551" y="7925"/>
                <wp:lineTo x="21551" y="396"/>
                <wp:lineTo x="18708" y="0"/>
                <wp:lineTo x="15315" y="0"/>
              </wp:wrapPolygon>
            </wp:wrapTight>
            <wp:docPr id="1571229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6910" cy="3115310"/>
                    </a:xfrm>
                    <a:prstGeom prst="rect">
                      <a:avLst/>
                    </a:prstGeom>
                    <a:noFill/>
                  </pic:spPr>
                </pic:pic>
              </a:graphicData>
            </a:graphic>
          </wp:anchor>
        </w:drawing>
      </w:r>
    </w:p>
    <w:p w14:paraId="07EB48A2" w14:textId="71BF6CD2" w:rsidR="005D1861" w:rsidRPr="00124685" w:rsidRDefault="005D1861" w:rsidP="002C253E">
      <w:pPr>
        <w:spacing w:before="200" w:after="120"/>
        <w:rPr>
          <w:b/>
          <w:bCs/>
          <w:color w:val="549A0C"/>
          <w:spacing w:val="0"/>
          <w:sz w:val="22"/>
          <w:szCs w:val="22"/>
          <w:lang w:val="pl-PL" w:eastAsia="ca-ES"/>
        </w:rPr>
      </w:pPr>
    </w:p>
    <w:p w14:paraId="29FBDD32" w14:textId="42366D42" w:rsidR="00CB3494" w:rsidRPr="00124685" w:rsidRDefault="00CB3494" w:rsidP="002C253E">
      <w:pPr>
        <w:spacing w:before="200" w:after="120"/>
        <w:rPr>
          <w:b/>
          <w:bCs/>
          <w:color w:val="549A0C"/>
          <w:spacing w:val="0"/>
          <w:sz w:val="24"/>
          <w:szCs w:val="24"/>
          <w:lang w:val="pl-PL" w:eastAsia="ca-ES"/>
        </w:rPr>
      </w:pPr>
    </w:p>
    <w:p w14:paraId="418A3F1F" w14:textId="7646DA13" w:rsidR="00CB3494" w:rsidRPr="00124685" w:rsidRDefault="00CB3494" w:rsidP="002C253E">
      <w:pPr>
        <w:spacing w:before="200" w:after="120"/>
        <w:rPr>
          <w:b/>
          <w:bCs/>
          <w:color w:val="549A0C"/>
          <w:spacing w:val="0"/>
          <w:sz w:val="24"/>
          <w:szCs w:val="24"/>
          <w:lang w:val="pl-PL" w:eastAsia="ca-ES"/>
        </w:rPr>
      </w:pPr>
    </w:p>
    <w:p w14:paraId="4E44A03A" w14:textId="73EA675C" w:rsidR="00124685" w:rsidRPr="00585D30" w:rsidRDefault="00124685" w:rsidP="3A8D1FF1">
      <w:pPr>
        <w:spacing w:after="200"/>
        <w:rPr>
          <w:b/>
          <w:bCs/>
          <w:color w:val="549A0C"/>
          <w:sz w:val="24"/>
          <w:szCs w:val="24"/>
          <w:lang w:val="pl-PL" w:eastAsia="ca-ES"/>
        </w:rPr>
      </w:pPr>
    </w:p>
    <w:p w14:paraId="0BD9F866" w14:textId="6EC475B8" w:rsidR="00124685" w:rsidRPr="00585D30" w:rsidRDefault="00124685" w:rsidP="00A84171">
      <w:pPr>
        <w:spacing w:after="200"/>
        <w:rPr>
          <w:lang w:val="pl-PL"/>
        </w:rPr>
      </w:pPr>
      <w:r w:rsidRPr="00585D30">
        <w:rPr>
          <w:lang w:val="pl-PL"/>
        </w:rPr>
        <w:br w:type="page"/>
      </w:r>
    </w:p>
    <w:p w14:paraId="4FEC954B" w14:textId="77777777" w:rsidR="00124685" w:rsidRPr="00585D30" w:rsidRDefault="6998CC5A" w:rsidP="3A8D1FF1">
      <w:pPr>
        <w:spacing w:after="200"/>
        <w:rPr>
          <w:b/>
          <w:bCs/>
          <w:color w:val="549A0C"/>
          <w:spacing w:val="0"/>
          <w:sz w:val="24"/>
          <w:szCs w:val="24"/>
          <w:lang w:val="pl-PL" w:eastAsia="ca-ES"/>
        </w:rPr>
      </w:pPr>
      <w:r w:rsidRPr="00585D30">
        <w:rPr>
          <w:b/>
          <w:bCs/>
          <w:color w:val="549A0C"/>
          <w:spacing w:val="0"/>
          <w:sz w:val="24"/>
          <w:szCs w:val="24"/>
          <w:lang w:val="pl-PL" w:eastAsia="ca-ES"/>
        </w:rPr>
        <w:lastRenderedPageBreak/>
        <w:t>Załącznik 2. Mierniki niezgodne z MSSF i alternatywne mierniki wyników (APM)</w:t>
      </w:r>
    </w:p>
    <w:p w14:paraId="54B4F7FB" w14:textId="62524142" w:rsidR="00124685" w:rsidRPr="00124685" w:rsidRDefault="00124685" w:rsidP="00124685">
      <w:pPr>
        <w:spacing w:before="300"/>
        <w:rPr>
          <w:sz w:val="22"/>
          <w:szCs w:val="22"/>
          <w:lang w:val="pl-PL"/>
        </w:rPr>
      </w:pPr>
      <w:r w:rsidRPr="00124685">
        <w:rPr>
          <w:sz w:val="22"/>
          <w:szCs w:val="22"/>
          <w:lang w:val="pl-PL"/>
        </w:rPr>
        <w:t>Niniejszy komunikat prasowy zawiera, oprócz informacji finansowych sporządzonych zgodnie z MSSF, alternatywne mierniki wyników („APM”) w rozumieniu wytycznych ESMA dotyczących alternatywnych mierników wyników oraz inne mierniki niezgodne z MSSF. Zostały one obliczone z wykorzystaniem informacji Grupy Cellnex, lecz nie są zdefiniowane w obowiązujących ramach sprawozdawczości finansowej ani nie zostały poddane badaniu lub przeglądowi.</w:t>
      </w:r>
    </w:p>
    <w:p w14:paraId="40DA24CE" w14:textId="3D9A44E8" w:rsidR="00A84171" w:rsidRPr="00124685" w:rsidRDefault="00124685" w:rsidP="00124685">
      <w:pPr>
        <w:spacing w:before="300"/>
        <w:rPr>
          <w:lang w:val="pl-PL"/>
        </w:rPr>
      </w:pPr>
      <w:r w:rsidRPr="00124685">
        <w:rPr>
          <w:sz w:val="22"/>
          <w:szCs w:val="22"/>
          <w:lang w:val="pl-PL"/>
        </w:rPr>
        <w:t>Cellnex wykorzystuje te mierniki APM oraz mierniki niezgodne z MSSF podczas planowania, monitorowania i oceny wyników. Stanowią one uzupełnienie mierników zgodnych z MSSF, a nie ich zamiennik. Definicje, objaśnienia i uzgodnienia można znaleźć w części poświęconej alternatywnym miernikom wyników oraz w pomocniczym pliku Excel opublikowanym przez Cellnex.</w:t>
      </w:r>
    </w:p>
    <w:p w14:paraId="78333CD9" w14:textId="76E35AE4" w:rsidR="00416FEB" w:rsidRPr="00124685" w:rsidRDefault="00416FEB" w:rsidP="00B5046B">
      <w:pPr>
        <w:widowControl w:val="0"/>
        <w:spacing w:after="0" w:line="240" w:lineRule="auto"/>
        <w:ind w:right="539"/>
        <w:rPr>
          <w:lang w:val="pl-PL"/>
        </w:rPr>
      </w:pPr>
    </w:p>
    <w:p w14:paraId="60B251DB" w14:textId="7DA2AEF3" w:rsidR="006E52F2" w:rsidRPr="00124685" w:rsidRDefault="006E52F2" w:rsidP="00B5046B">
      <w:pPr>
        <w:widowControl w:val="0"/>
        <w:spacing w:after="0" w:line="240" w:lineRule="auto"/>
        <w:ind w:right="539"/>
        <w:rPr>
          <w:lang w:val="pl-PL"/>
        </w:rPr>
      </w:pPr>
    </w:p>
    <w:p w14:paraId="33FB36AB" w14:textId="507DB8C4" w:rsidR="006E52F2" w:rsidRPr="00124685" w:rsidRDefault="006E52F2" w:rsidP="00B5046B">
      <w:pPr>
        <w:widowControl w:val="0"/>
        <w:spacing w:after="0" w:line="240" w:lineRule="auto"/>
        <w:ind w:right="539"/>
        <w:rPr>
          <w:lang w:val="pl-PL"/>
        </w:rPr>
      </w:pPr>
    </w:p>
    <w:p w14:paraId="476D1E7B" w14:textId="7D6B6937" w:rsidR="006E52F2" w:rsidRPr="00124685" w:rsidRDefault="006E52F2" w:rsidP="00B5046B">
      <w:pPr>
        <w:widowControl w:val="0"/>
        <w:spacing w:after="0" w:line="240" w:lineRule="auto"/>
        <w:ind w:right="539"/>
        <w:rPr>
          <w:lang w:val="pl-PL"/>
        </w:rPr>
      </w:pPr>
    </w:p>
    <w:p w14:paraId="40371ECA" w14:textId="77777777" w:rsidR="006E52F2" w:rsidRPr="00124685" w:rsidRDefault="006E52F2" w:rsidP="00B5046B">
      <w:pPr>
        <w:widowControl w:val="0"/>
        <w:spacing w:after="0" w:line="240" w:lineRule="auto"/>
        <w:ind w:right="539"/>
        <w:rPr>
          <w:lang w:val="pl-PL"/>
        </w:rPr>
      </w:pPr>
    </w:p>
    <w:p w14:paraId="1DA4F783" w14:textId="77777777" w:rsidR="006E52F2" w:rsidRPr="00124685" w:rsidRDefault="006E52F2" w:rsidP="00B5046B">
      <w:pPr>
        <w:widowControl w:val="0"/>
        <w:spacing w:after="0" w:line="240" w:lineRule="auto"/>
        <w:ind w:right="539"/>
        <w:rPr>
          <w:lang w:val="pl-PL"/>
        </w:rPr>
      </w:pPr>
    </w:p>
    <w:p w14:paraId="5CB8250B" w14:textId="77777777" w:rsidR="006E52F2" w:rsidRPr="00124685" w:rsidRDefault="006E52F2" w:rsidP="00B5046B">
      <w:pPr>
        <w:widowControl w:val="0"/>
        <w:spacing w:after="0" w:line="240" w:lineRule="auto"/>
        <w:ind w:right="539"/>
        <w:rPr>
          <w:lang w:val="pl-PL"/>
        </w:rPr>
      </w:pPr>
    </w:p>
    <w:p w14:paraId="2D911D78" w14:textId="77777777" w:rsidR="007B1AB7" w:rsidRPr="00124685" w:rsidRDefault="007B1AB7" w:rsidP="00B5046B">
      <w:pPr>
        <w:widowControl w:val="0"/>
        <w:spacing w:after="0" w:line="240" w:lineRule="auto"/>
        <w:ind w:right="539"/>
        <w:rPr>
          <w:lang w:val="pl-PL"/>
        </w:rPr>
      </w:pPr>
    </w:p>
    <w:p w14:paraId="32A23174" w14:textId="77777777" w:rsidR="007B1AB7" w:rsidRPr="00124685" w:rsidRDefault="007B1AB7" w:rsidP="00B5046B">
      <w:pPr>
        <w:widowControl w:val="0"/>
        <w:spacing w:after="0" w:line="240" w:lineRule="auto"/>
        <w:ind w:right="539"/>
        <w:rPr>
          <w:lang w:val="pl-PL"/>
        </w:rPr>
      </w:pPr>
    </w:p>
    <w:p w14:paraId="23A9E245" w14:textId="77777777" w:rsidR="006E52F2" w:rsidRPr="00124685" w:rsidRDefault="006E52F2" w:rsidP="00B5046B">
      <w:pPr>
        <w:widowControl w:val="0"/>
        <w:spacing w:after="0" w:line="240" w:lineRule="auto"/>
        <w:ind w:right="539"/>
        <w:rPr>
          <w:lang w:val="pl-PL"/>
        </w:rPr>
      </w:pPr>
    </w:p>
    <w:p w14:paraId="475A2FC8" w14:textId="77777777" w:rsidR="006E52F2" w:rsidRPr="00124685" w:rsidRDefault="006E52F2" w:rsidP="00B5046B">
      <w:pPr>
        <w:widowControl w:val="0"/>
        <w:spacing w:after="0" w:line="240" w:lineRule="auto"/>
        <w:ind w:right="539"/>
        <w:rPr>
          <w:lang w:val="pl-PL"/>
        </w:rPr>
      </w:pPr>
    </w:p>
    <w:p w14:paraId="69E7E6C4" w14:textId="77777777" w:rsidR="006E52F2" w:rsidRPr="00124685" w:rsidRDefault="006E52F2" w:rsidP="00B5046B">
      <w:pPr>
        <w:widowControl w:val="0"/>
        <w:spacing w:after="0" w:line="240" w:lineRule="auto"/>
        <w:ind w:right="539"/>
        <w:rPr>
          <w:lang w:val="pl-PL"/>
        </w:rPr>
      </w:pPr>
    </w:p>
    <w:p w14:paraId="008CE89D" w14:textId="77777777" w:rsidR="006E52F2" w:rsidRPr="00124685" w:rsidRDefault="006E52F2" w:rsidP="00B5046B">
      <w:pPr>
        <w:widowControl w:val="0"/>
        <w:spacing w:after="0" w:line="240" w:lineRule="auto"/>
        <w:ind w:right="539"/>
        <w:rPr>
          <w:lang w:val="pl-PL"/>
        </w:rPr>
      </w:pPr>
    </w:p>
    <w:p w14:paraId="38C488BB" w14:textId="77777777" w:rsidR="006E52F2" w:rsidRPr="00124685" w:rsidRDefault="006E52F2" w:rsidP="00B5046B">
      <w:pPr>
        <w:widowControl w:val="0"/>
        <w:spacing w:after="0" w:line="240" w:lineRule="auto"/>
        <w:ind w:right="539"/>
        <w:rPr>
          <w:lang w:val="pl-PL"/>
        </w:rPr>
      </w:pPr>
    </w:p>
    <w:p w14:paraId="0A239563" w14:textId="77777777" w:rsidR="005D1861" w:rsidRPr="00124685" w:rsidRDefault="005D1861" w:rsidP="00B5046B">
      <w:pPr>
        <w:widowControl w:val="0"/>
        <w:spacing w:after="0" w:line="240" w:lineRule="auto"/>
        <w:ind w:right="539"/>
        <w:rPr>
          <w:lang w:val="pl-PL"/>
        </w:rPr>
      </w:pPr>
    </w:p>
    <w:p w14:paraId="70861BF7" w14:textId="77777777" w:rsidR="00CB3494" w:rsidRPr="00124685" w:rsidRDefault="00CB3494" w:rsidP="00B5046B">
      <w:pPr>
        <w:widowControl w:val="0"/>
        <w:spacing w:after="0" w:line="240" w:lineRule="auto"/>
        <w:ind w:right="539"/>
        <w:rPr>
          <w:lang w:val="pl-PL"/>
        </w:rPr>
      </w:pPr>
    </w:p>
    <w:p w14:paraId="69F3A1F7" w14:textId="77777777" w:rsidR="00CB3494" w:rsidRPr="00124685" w:rsidRDefault="00CB3494" w:rsidP="00B5046B">
      <w:pPr>
        <w:widowControl w:val="0"/>
        <w:spacing w:after="0" w:line="240" w:lineRule="auto"/>
        <w:ind w:right="539"/>
        <w:rPr>
          <w:lang w:val="pl-PL"/>
        </w:rPr>
      </w:pPr>
    </w:p>
    <w:p w14:paraId="12482CCA" w14:textId="77777777" w:rsidR="00CB3494" w:rsidRPr="00124685" w:rsidRDefault="00CB3494" w:rsidP="00B5046B">
      <w:pPr>
        <w:widowControl w:val="0"/>
        <w:spacing w:after="0" w:line="240" w:lineRule="auto"/>
        <w:ind w:right="539"/>
        <w:rPr>
          <w:lang w:val="pl-PL"/>
        </w:rPr>
      </w:pPr>
    </w:p>
    <w:p w14:paraId="526A05F6" w14:textId="77777777" w:rsidR="00CB3494" w:rsidRPr="00124685" w:rsidRDefault="00CB3494" w:rsidP="00B5046B">
      <w:pPr>
        <w:widowControl w:val="0"/>
        <w:spacing w:after="0" w:line="240" w:lineRule="auto"/>
        <w:ind w:right="539"/>
        <w:rPr>
          <w:lang w:val="pl-PL"/>
        </w:rPr>
      </w:pPr>
    </w:p>
    <w:p w14:paraId="16FD3FBC" w14:textId="77777777" w:rsidR="00CB3494" w:rsidRPr="00124685" w:rsidRDefault="00CB3494" w:rsidP="00B5046B">
      <w:pPr>
        <w:widowControl w:val="0"/>
        <w:spacing w:after="0" w:line="240" w:lineRule="auto"/>
        <w:ind w:right="539"/>
        <w:rPr>
          <w:lang w:val="pl-PL"/>
        </w:rPr>
      </w:pPr>
    </w:p>
    <w:p w14:paraId="1017F05D" w14:textId="77777777" w:rsidR="00CB3494" w:rsidRPr="00124685" w:rsidRDefault="00CB3494" w:rsidP="00B5046B">
      <w:pPr>
        <w:widowControl w:val="0"/>
        <w:spacing w:after="0" w:line="240" w:lineRule="auto"/>
        <w:ind w:right="539"/>
        <w:rPr>
          <w:lang w:val="pl-PL"/>
        </w:rPr>
      </w:pPr>
    </w:p>
    <w:p w14:paraId="46C944D2" w14:textId="77777777" w:rsidR="00CB3494" w:rsidRPr="00124685" w:rsidRDefault="00CB3494" w:rsidP="00B5046B">
      <w:pPr>
        <w:widowControl w:val="0"/>
        <w:spacing w:after="0" w:line="240" w:lineRule="auto"/>
        <w:ind w:right="539"/>
        <w:rPr>
          <w:lang w:val="pl-PL"/>
        </w:rPr>
      </w:pPr>
    </w:p>
    <w:p w14:paraId="78665C88" w14:textId="77777777" w:rsidR="00CB3494" w:rsidRPr="00124685" w:rsidRDefault="00CB3494" w:rsidP="00B5046B">
      <w:pPr>
        <w:widowControl w:val="0"/>
        <w:spacing w:after="0" w:line="240" w:lineRule="auto"/>
        <w:ind w:right="539"/>
        <w:rPr>
          <w:lang w:val="pl-PL"/>
        </w:rPr>
      </w:pPr>
    </w:p>
    <w:p w14:paraId="27485EC4" w14:textId="77777777" w:rsidR="00CB3494" w:rsidRPr="00124685" w:rsidRDefault="00CB3494" w:rsidP="00B5046B">
      <w:pPr>
        <w:widowControl w:val="0"/>
        <w:spacing w:after="0" w:line="240" w:lineRule="auto"/>
        <w:ind w:right="539"/>
        <w:rPr>
          <w:lang w:val="pl-PL"/>
        </w:rPr>
      </w:pPr>
    </w:p>
    <w:p w14:paraId="21614538" w14:textId="77777777" w:rsidR="00CB3494" w:rsidRPr="00124685" w:rsidRDefault="00CB3494" w:rsidP="00B5046B">
      <w:pPr>
        <w:widowControl w:val="0"/>
        <w:spacing w:after="0" w:line="240" w:lineRule="auto"/>
        <w:ind w:right="539"/>
        <w:rPr>
          <w:lang w:val="pl-PL"/>
        </w:rPr>
      </w:pPr>
    </w:p>
    <w:p w14:paraId="15759C1C" w14:textId="77777777" w:rsidR="00CB3494" w:rsidRPr="00124685" w:rsidRDefault="00CB3494" w:rsidP="00B5046B">
      <w:pPr>
        <w:widowControl w:val="0"/>
        <w:spacing w:after="0" w:line="240" w:lineRule="auto"/>
        <w:ind w:right="539"/>
        <w:rPr>
          <w:lang w:val="pl-PL"/>
        </w:rPr>
      </w:pPr>
    </w:p>
    <w:p w14:paraId="02D609F9" w14:textId="77777777" w:rsidR="00CB3494" w:rsidRPr="00124685" w:rsidRDefault="00CB3494" w:rsidP="00B5046B">
      <w:pPr>
        <w:widowControl w:val="0"/>
        <w:spacing w:after="0" w:line="240" w:lineRule="auto"/>
        <w:ind w:right="539"/>
        <w:rPr>
          <w:lang w:val="pl-PL"/>
        </w:rPr>
      </w:pPr>
    </w:p>
    <w:p w14:paraId="5F2F229C" w14:textId="77777777" w:rsidR="00CB3494" w:rsidRPr="00124685" w:rsidRDefault="00CB3494" w:rsidP="00B5046B">
      <w:pPr>
        <w:widowControl w:val="0"/>
        <w:spacing w:after="0" w:line="240" w:lineRule="auto"/>
        <w:ind w:right="539"/>
        <w:rPr>
          <w:lang w:val="pl-PL"/>
        </w:rPr>
      </w:pPr>
    </w:p>
    <w:p w14:paraId="3E34F4EF" w14:textId="77777777" w:rsidR="00CB3494" w:rsidRPr="00124685" w:rsidRDefault="00CB3494" w:rsidP="00B5046B">
      <w:pPr>
        <w:widowControl w:val="0"/>
        <w:spacing w:after="0" w:line="240" w:lineRule="auto"/>
        <w:ind w:right="539"/>
        <w:rPr>
          <w:lang w:val="pl-PL"/>
        </w:rPr>
      </w:pPr>
    </w:p>
    <w:p w14:paraId="31181DCF" w14:textId="77777777" w:rsidR="00CB3494" w:rsidRPr="00124685" w:rsidRDefault="00CB3494" w:rsidP="00B5046B">
      <w:pPr>
        <w:widowControl w:val="0"/>
        <w:spacing w:after="0" w:line="240" w:lineRule="auto"/>
        <w:ind w:right="539"/>
        <w:rPr>
          <w:lang w:val="pl-PL"/>
        </w:rPr>
      </w:pPr>
    </w:p>
    <w:p w14:paraId="79535A98" w14:textId="77777777" w:rsidR="00CB3494" w:rsidRPr="00124685" w:rsidRDefault="00CB3494" w:rsidP="00B5046B">
      <w:pPr>
        <w:widowControl w:val="0"/>
        <w:spacing w:after="0" w:line="240" w:lineRule="auto"/>
        <w:ind w:right="539"/>
        <w:rPr>
          <w:lang w:val="pl-PL"/>
        </w:rPr>
      </w:pPr>
    </w:p>
    <w:p w14:paraId="38E5F1D8" w14:textId="77777777" w:rsidR="00CB3494" w:rsidRPr="00124685" w:rsidRDefault="00CB3494" w:rsidP="00B5046B">
      <w:pPr>
        <w:widowControl w:val="0"/>
        <w:spacing w:after="0" w:line="240" w:lineRule="auto"/>
        <w:ind w:right="539"/>
        <w:rPr>
          <w:lang w:val="pl-PL"/>
        </w:rPr>
      </w:pPr>
    </w:p>
    <w:p w14:paraId="6DC36B16" w14:textId="77777777" w:rsidR="00CB3494" w:rsidRPr="00124685" w:rsidRDefault="00CB3494" w:rsidP="00B5046B">
      <w:pPr>
        <w:widowControl w:val="0"/>
        <w:spacing w:after="0" w:line="240" w:lineRule="auto"/>
        <w:ind w:right="539"/>
        <w:rPr>
          <w:lang w:val="pl-PL"/>
        </w:rPr>
      </w:pPr>
    </w:p>
    <w:p w14:paraId="68D2B4D4" w14:textId="77777777" w:rsidR="00CB3494" w:rsidRPr="00124685" w:rsidRDefault="00CB3494" w:rsidP="00B5046B">
      <w:pPr>
        <w:widowControl w:val="0"/>
        <w:spacing w:after="0" w:line="240" w:lineRule="auto"/>
        <w:ind w:right="539"/>
        <w:rPr>
          <w:lang w:val="pl-PL"/>
        </w:rPr>
      </w:pPr>
    </w:p>
    <w:p w14:paraId="010BF9F2" w14:textId="77777777" w:rsidR="002D6E59" w:rsidRPr="00124685" w:rsidRDefault="002D6E59" w:rsidP="00B5046B">
      <w:pPr>
        <w:widowControl w:val="0"/>
        <w:spacing w:after="0" w:line="240" w:lineRule="auto"/>
        <w:ind w:right="539"/>
        <w:rPr>
          <w:lang w:val="pl-PL"/>
        </w:rPr>
      </w:pPr>
    </w:p>
    <w:p w14:paraId="66BE4287" w14:textId="7EB5BDFC" w:rsidR="00945D86" w:rsidRPr="00124685" w:rsidRDefault="0012308E" w:rsidP="00B5046B">
      <w:pPr>
        <w:widowControl w:val="0"/>
        <w:spacing w:after="0" w:line="240" w:lineRule="auto"/>
        <w:ind w:right="539"/>
        <w:rPr>
          <w:lang w:val="pl-PL"/>
        </w:rPr>
      </w:pPr>
      <w:r>
        <w:rPr>
          <w:noProof/>
          <w:color w:val="425563"/>
          <w:spacing w:val="0"/>
          <w:sz w:val="22"/>
          <w:szCs w:val="22"/>
          <w:lang w:val="en-GB" w:eastAsia="en-GB"/>
        </w:rPr>
        <mc:AlternateContent>
          <mc:Choice Requires="wps">
            <w:drawing>
              <wp:anchor distT="0" distB="0" distL="114300" distR="114300" simplePos="0" relativeHeight="251658244" behindDoc="0" locked="0" layoutInCell="1" allowOverlap="1" wp14:anchorId="18C5D6CD" wp14:editId="38CBF753">
                <wp:simplePos x="0" y="0"/>
                <wp:positionH relativeFrom="margin">
                  <wp:align>left</wp:align>
                </wp:positionH>
                <wp:positionV relativeFrom="paragraph">
                  <wp:posOffset>223012</wp:posOffset>
                </wp:positionV>
                <wp:extent cx="5915533" cy="0"/>
                <wp:effectExtent l="0" t="0" r="0" b="0"/>
                <wp:wrapNone/>
                <wp:docPr id="55879223" name="Conector recto 6"/>
                <wp:cNvGraphicFramePr/>
                <a:graphic xmlns:a="http://schemas.openxmlformats.org/drawingml/2006/main">
                  <a:graphicData uri="http://schemas.microsoft.com/office/word/2010/wordprocessingShape">
                    <wps:wsp>
                      <wps:cNvCnPr/>
                      <wps:spPr>
                        <a:xfrm>
                          <a:off x="0" y="0"/>
                          <a:ext cx="5915533" cy="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0AE321" id="Conector recto 6" o:spid="_x0000_s1026" style="position:absolute;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55pt" to="465.8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" strokecolor="#538135 [2409]" strokeweight="1.5pt">
                <v:stroke joinstyle="miter"/>
                <w10:wrap anchorx="margin"/>
              </v:line>
            </w:pict>
          </mc:Fallback>
        </mc:AlternateContent>
      </w:r>
    </w:p>
    <w:p w14:paraId="2C0B1D1F" w14:textId="77777777" w:rsidR="002F1209" w:rsidRPr="00124685" w:rsidRDefault="002F1209" w:rsidP="0012308E">
      <w:pPr>
        <w:suppressAutoHyphens/>
        <w:spacing w:after="120" w:line="360" w:lineRule="auto"/>
        <w:ind w:left="284"/>
        <w:contextualSpacing/>
        <w:jc w:val="left"/>
        <w:rPr>
          <w:rFonts w:eastAsia="Calibri" w:cs="Calibri"/>
          <w:b/>
          <w:bCs/>
          <w:color w:val="003652"/>
          <w:spacing w:val="0"/>
          <w:sz w:val="16"/>
          <w:szCs w:val="16"/>
          <w:bdr w:val="none" w:sz="0" w:space="0" w:color="auto" w:frame="1"/>
          <w:lang w:val="pl-PL"/>
        </w:rPr>
      </w:pPr>
    </w:p>
    <w:p w14:paraId="4168ED34" w14:textId="77777777" w:rsidR="00945D86" w:rsidRDefault="0012308E" w:rsidP="0012308E">
      <w:pPr>
        <w:suppressAutoHyphens/>
        <w:spacing w:after="120" w:line="360" w:lineRule="auto"/>
        <w:ind w:left="284"/>
        <w:contextualSpacing/>
        <w:jc w:val="left"/>
        <w:rPr>
          <w:rFonts w:eastAsia="Calibri" w:cs="Calibri"/>
          <w:b/>
          <w:bCs/>
          <w:color w:val="003652"/>
          <w:spacing w:val="0"/>
          <w:sz w:val="16"/>
          <w:szCs w:val="16"/>
          <w:bdr w:val="none" w:sz="0" w:space="0" w:color="auto" w:frame="1"/>
          <w:lang w:val="en-GB"/>
        </w:rPr>
      </w:pPr>
      <w:r>
        <w:rPr>
          <w:noProof/>
          <w:bdr w:val="none" w:sz="0" w:space="0" w:color="auto" w:frame="1"/>
          <w:lang w:val="en-GB"/>
        </w:rPr>
        <w:drawing>
          <wp:anchor distT="0" distB="0" distL="114300" distR="114300" simplePos="0" relativeHeight="251658240" behindDoc="1" locked="0" layoutInCell="1" allowOverlap="1" wp14:anchorId="1B12A6B5" wp14:editId="17E2FEFA">
            <wp:simplePos x="0" y="0"/>
            <wp:positionH relativeFrom="column">
              <wp:posOffset>5393690</wp:posOffset>
            </wp:positionH>
            <wp:positionV relativeFrom="paragraph">
              <wp:posOffset>18415</wp:posOffset>
            </wp:positionV>
            <wp:extent cx="346710" cy="352425"/>
            <wp:effectExtent l="0" t="0" r="0" b="9525"/>
            <wp:wrapTight wrapText="bothSides">
              <wp:wrapPolygon edited="0">
                <wp:start x="7121" y="0"/>
                <wp:lineTo x="0" y="4670"/>
                <wp:lineTo x="0" y="17514"/>
                <wp:lineTo x="7121" y="21016"/>
                <wp:lineTo x="13055" y="21016"/>
                <wp:lineTo x="20176" y="17514"/>
                <wp:lineTo x="20176" y="4670"/>
                <wp:lineTo x="13055" y="0"/>
                <wp:lineTo x="7121" y="0"/>
              </wp:wrapPolygon>
            </wp:wrapTight>
            <wp:docPr id="1902019499" name="Imagen 8" descr="Icono&#10;&#10;El contenido generado por IA puede ser incorrect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19499" name="Imagen 8" descr="Icono&#10;&#10;El contenido generado por IA puede ser incorrecto.">
                      <a:hlinkClick r:id="rId12"/>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671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noProof/>
          <w:color w:val="51626F"/>
          <w:sz w:val="24"/>
          <w:szCs w:val="24"/>
          <w:lang w:val="en-GB"/>
        </w:rPr>
        <w:drawing>
          <wp:anchor distT="0" distB="0" distL="114300" distR="114300" simplePos="0" relativeHeight="251658242" behindDoc="1" locked="0" layoutInCell="1" allowOverlap="1" wp14:anchorId="72952930" wp14:editId="215368AA">
            <wp:simplePos x="0" y="0"/>
            <wp:positionH relativeFrom="column">
              <wp:posOffset>5074920</wp:posOffset>
            </wp:positionH>
            <wp:positionV relativeFrom="paragraph">
              <wp:posOffset>18415</wp:posOffset>
            </wp:positionV>
            <wp:extent cx="331470" cy="344805"/>
            <wp:effectExtent l="0" t="0" r="0" b="0"/>
            <wp:wrapTight wrapText="bothSides">
              <wp:wrapPolygon edited="0">
                <wp:start x="6207" y="0"/>
                <wp:lineTo x="0" y="3580"/>
                <wp:lineTo x="0" y="15514"/>
                <wp:lineTo x="6207" y="20287"/>
                <wp:lineTo x="12414" y="20287"/>
                <wp:lineTo x="19862" y="16707"/>
                <wp:lineTo x="19862" y="7160"/>
                <wp:lineTo x="13655" y="0"/>
                <wp:lineTo x="6207" y="0"/>
              </wp:wrapPolygon>
            </wp:wrapTight>
            <wp:docPr id="708271634" name="Imagen 3" descr="Icono&#10;&#10;El contenido generado por IA puede ser incorrecto.">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71634" name="Imagen 3" descr="Icono&#10;&#10;El contenido generado por IA puede ser incorrecto.">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47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bdr w:val="none" w:sz="0" w:space="0" w:color="auto" w:frame="1"/>
          <w:lang w:val="en-GB"/>
        </w:rPr>
        <w:drawing>
          <wp:anchor distT="0" distB="0" distL="114300" distR="114300" simplePos="0" relativeHeight="251658241" behindDoc="1" locked="0" layoutInCell="1" allowOverlap="1" wp14:anchorId="407B59C9" wp14:editId="5B8BE816">
            <wp:simplePos x="0" y="0"/>
            <wp:positionH relativeFrom="column">
              <wp:posOffset>4714875</wp:posOffset>
            </wp:positionH>
            <wp:positionV relativeFrom="paragraph">
              <wp:posOffset>18415</wp:posOffset>
            </wp:positionV>
            <wp:extent cx="342265" cy="345440"/>
            <wp:effectExtent l="0" t="0" r="635" b="0"/>
            <wp:wrapTight wrapText="bothSides">
              <wp:wrapPolygon edited="0">
                <wp:start x="7213" y="0"/>
                <wp:lineTo x="1202" y="7147"/>
                <wp:lineTo x="1202" y="15485"/>
                <wp:lineTo x="8416" y="20250"/>
                <wp:lineTo x="14427" y="20250"/>
                <wp:lineTo x="20438" y="16676"/>
                <wp:lineTo x="20438" y="3574"/>
                <wp:lineTo x="14427" y="0"/>
                <wp:lineTo x="7213" y="0"/>
              </wp:wrapPolygon>
            </wp:wrapTight>
            <wp:docPr id="900612745" name="Imagen 1" descr="Icono&#10;&#10;El contenido generado por IA puede ser incorrect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12745" name="Imagen 1" descr="Icono&#10;&#10;El contenido generado por IA puede ser incorrecto.">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0" y="0"/>
                      <a:ext cx="342265" cy="345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noProof/>
          <w:color w:val="51626F"/>
          <w:sz w:val="24"/>
          <w:szCs w:val="24"/>
          <w:lang w:val="en-GB"/>
        </w:rPr>
        <w:drawing>
          <wp:anchor distT="0" distB="0" distL="114300" distR="114300" simplePos="0" relativeHeight="251658243" behindDoc="1" locked="0" layoutInCell="1" allowOverlap="1" wp14:anchorId="04D91E2A" wp14:editId="46906F58">
            <wp:simplePos x="0" y="0"/>
            <wp:positionH relativeFrom="column">
              <wp:posOffset>4375687</wp:posOffset>
            </wp:positionH>
            <wp:positionV relativeFrom="paragraph">
              <wp:posOffset>18415</wp:posOffset>
            </wp:positionV>
            <wp:extent cx="363220" cy="367030"/>
            <wp:effectExtent l="0" t="0" r="0" b="0"/>
            <wp:wrapTight wrapText="bothSides">
              <wp:wrapPolygon edited="0">
                <wp:start x="6797" y="0"/>
                <wp:lineTo x="0" y="5606"/>
                <wp:lineTo x="0" y="15696"/>
                <wp:lineTo x="7930" y="20180"/>
                <wp:lineTo x="12462" y="20180"/>
                <wp:lineTo x="20392" y="15696"/>
                <wp:lineTo x="20392" y="5606"/>
                <wp:lineTo x="13594" y="0"/>
                <wp:lineTo x="6797" y="0"/>
              </wp:wrapPolygon>
            </wp:wrapTight>
            <wp:docPr id="2142186735" name="Imagen 4" descr="Icono&#10;&#10;El contenido generado por IA puede ser incorrecto.">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86735" name="Imagen 4" descr="Icono&#10;&#10;El contenido generado por IA puede ser incorrecto.">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220" cy="36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D86" w:rsidRPr="00945D86">
        <w:rPr>
          <w:rFonts w:eastAsia="Calibri" w:cs="Calibri"/>
          <w:b/>
          <w:bCs/>
          <w:color w:val="003652"/>
          <w:spacing w:val="0"/>
          <w:sz w:val="16"/>
          <w:szCs w:val="16"/>
          <w:bdr w:val="none" w:sz="0" w:space="0" w:color="auto" w:frame="1"/>
          <w:lang w:val="en-GB"/>
        </w:rPr>
        <w:t xml:space="preserve">Corporate </w:t>
      </w:r>
      <w:r>
        <w:rPr>
          <w:rFonts w:eastAsia="Calibri" w:cs="Calibri"/>
          <w:b/>
          <w:bCs/>
          <w:color w:val="003652"/>
          <w:spacing w:val="0"/>
          <w:sz w:val="16"/>
          <w:szCs w:val="16"/>
          <w:bdr w:val="none" w:sz="0" w:space="0" w:color="auto" w:frame="1"/>
          <w:lang w:val="en-GB"/>
        </w:rPr>
        <w:t xml:space="preserve">and Public </w:t>
      </w:r>
      <w:r w:rsidR="00945D86" w:rsidRPr="00945D86">
        <w:rPr>
          <w:rFonts w:eastAsia="Calibri" w:cs="Calibri"/>
          <w:b/>
          <w:bCs/>
          <w:color w:val="003652"/>
          <w:spacing w:val="0"/>
          <w:sz w:val="16"/>
          <w:szCs w:val="16"/>
          <w:bdr w:val="none" w:sz="0" w:space="0" w:color="auto" w:frame="1"/>
          <w:lang w:val="en-GB"/>
        </w:rPr>
        <w:t>Affairs Department</w:t>
      </w:r>
    </w:p>
    <w:p w14:paraId="7160AD8B" w14:textId="77777777" w:rsidR="0012308E" w:rsidRDefault="0012308E" w:rsidP="0012308E">
      <w:pPr>
        <w:suppressAutoHyphens/>
        <w:spacing w:after="120" w:line="360" w:lineRule="auto"/>
        <w:ind w:left="284"/>
        <w:contextualSpacing/>
        <w:jc w:val="left"/>
        <w:rPr>
          <w:rFonts w:eastAsia="Calibri" w:cs="Calibri"/>
          <w:color w:val="003652"/>
          <w:spacing w:val="0"/>
          <w:sz w:val="16"/>
          <w:szCs w:val="16"/>
          <w:u w:color="334350"/>
          <w:bdr w:val="none" w:sz="0" w:space="0" w:color="auto" w:frame="1"/>
          <w:lang w:val="en-GB"/>
        </w:rPr>
      </w:pPr>
      <w:r w:rsidRPr="0012308E">
        <w:rPr>
          <w:rFonts w:eastAsia="Calibri" w:cs="Calibri"/>
          <w:color w:val="003652"/>
          <w:spacing w:val="0"/>
          <w:sz w:val="16"/>
          <w:szCs w:val="16"/>
          <w:u w:color="334350"/>
          <w:bdr w:val="none" w:sz="0" w:space="0" w:color="auto" w:frame="1"/>
          <w:lang w:val="en-GB"/>
        </w:rPr>
        <w:t>Corporate Communications</w:t>
      </w:r>
    </w:p>
    <w:p w14:paraId="24EE9C8B" w14:textId="77777777" w:rsidR="0012308E" w:rsidRPr="0012308E" w:rsidRDefault="0012308E" w:rsidP="0012308E">
      <w:pPr>
        <w:suppressAutoHyphens/>
        <w:spacing w:after="120" w:line="360" w:lineRule="auto"/>
        <w:ind w:left="284"/>
        <w:contextualSpacing/>
        <w:jc w:val="left"/>
        <w:rPr>
          <w:rFonts w:eastAsia="Calibri" w:cs="Calibri"/>
          <w:color w:val="003652"/>
          <w:spacing w:val="0"/>
          <w:sz w:val="16"/>
          <w:szCs w:val="16"/>
          <w:u w:color="334350"/>
          <w:bdr w:val="none" w:sz="0" w:space="0" w:color="auto" w:frame="1"/>
          <w:lang w:val="en-GB"/>
        </w:rPr>
      </w:pPr>
      <w:hyperlink r:id="rId23" w:history="1">
        <w:r w:rsidRPr="00AD63DA">
          <w:rPr>
            <w:rStyle w:val="Hyperlink"/>
            <w:rFonts w:eastAsia="Calibri" w:cs="Calibri"/>
            <w:spacing w:val="0"/>
            <w:sz w:val="16"/>
            <w:szCs w:val="16"/>
            <w:bdr w:val="none" w:sz="0" w:space="0" w:color="auto" w:frame="1"/>
            <w:lang w:val="en-GB"/>
          </w:rPr>
          <w:t>communication@cellnextelecom.com</w:t>
        </w:r>
      </w:hyperlink>
      <w:r>
        <w:rPr>
          <w:rFonts w:eastAsia="Calibri" w:cs="Calibri"/>
          <w:color w:val="003652"/>
          <w:spacing w:val="0"/>
          <w:sz w:val="16"/>
          <w:szCs w:val="16"/>
          <w:u w:color="334350"/>
          <w:bdr w:val="none" w:sz="0" w:space="0" w:color="auto" w:frame="1"/>
          <w:lang w:val="en-GB"/>
        </w:rPr>
        <w:t xml:space="preserve"> </w:t>
      </w:r>
    </w:p>
    <w:p w14:paraId="70F83B76" w14:textId="1D98058B" w:rsidR="006C6687" w:rsidRPr="00524FD1" w:rsidRDefault="006C6687" w:rsidP="00374D01">
      <w:pPr>
        <w:suppressAutoHyphens/>
        <w:spacing w:after="0" w:line="240" w:lineRule="auto"/>
        <w:rPr>
          <w:color w:val="425563"/>
          <w:sz w:val="22"/>
          <w:szCs w:val="22"/>
          <w:lang w:val="en-GB"/>
        </w:rPr>
      </w:pPr>
    </w:p>
    <w:sectPr w:rsidR="006C6687" w:rsidRPr="00524FD1" w:rsidSect="000430F8">
      <w:headerReference w:type="even" r:id="rId24"/>
      <w:headerReference w:type="default" r:id="rId25"/>
      <w:footerReference w:type="even" r:id="rId26"/>
      <w:footerReference w:type="default" r:id="rId27"/>
      <w:headerReference w:type="first" r:id="rId28"/>
      <w:footerReference w:type="first" r:id="rId29"/>
      <w:pgSz w:w="11900" w:h="16840"/>
      <w:pgMar w:top="1985" w:right="985" w:bottom="993" w:left="1588"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56D19" w14:textId="77777777" w:rsidR="00131B63" w:rsidRDefault="00131B63">
      <w:pPr>
        <w:spacing w:after="0" w:line="240" w:lineRule="auto"/>
      </w:pPr>
      <w:r>
        <w:separator/>
      </w:r>
    </w:p>
  </w:endnote>
  <w:endnote w:type="continuationSeparator" w:id="0">
    <w:p w14:paraId="4EB58728" w14:textId="77777777" w:rsidR="00131B63" w:rsidRDefault="00131B63">
      <w:pPr>
        <w:spacing w:after="0" w:line="240" w:lineRule="auto"/>
      </w:pPr>
      <w:r>
        <w:continuationSeparator/>
      </w:r>
    </w:p>
  </w:endnote>
  <w:endnote w:type="continuationNotice" w:id="1">
    <w:p w14:paraId="49D0672E" w14:textId="77777777" w:rsidR="00131B63" w:rsidRDefault="00131B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Bliss-LightItalic">
    <w:altName w:val="Calibri"/>
    <w:charset w:val="4D"/>
    <w:family w:val="auto"/>
    <w:pitch w:val="default"/>
    <w:sig w:usb0="00000003" w:usb1="00000000" w:usb2="00000000" w:usb3="00000000" w:csb0="00000001" w:csb1="00000000"/>
  </w:font>
  <w:font w:name="Times-Roman">
    <w:altName w:val="Times New Roman"/>
    <w:charset w:val="4D"/>
    <w:family w:val="auto"/>
    <w:pitch w:val="default"/>
    <w:sig w:usb0="00000003" w:usb1="00000000" w:usb2="00000000" w:usb3="00000000" w:csb0="00000001" w:csb1="00000000"/>
  </w:font>
  <w:font w:name="Verdana-Bold">
    <w:charset w:val="00"/>
    <w:family w:val="auto"/>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2BAB" w14:textId="77777777" w:rsidR="00447AFD" w:rsidRDefault="00D21882" w:rsidP="00767D38">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6E3EED59" w14:textId="77777777" w:rsidR="00447AFD" w:rsidRDefault="00447AFD" w:rsidP="00767D38">
    <w:pPr>
      <w:pStyle w:val="Footer"/>
    </w:pPr>
  </w:p>
  <w:p w14:paraId="7F24724E" w14:textId="77777777" w:rsidR="00447AFD" w:rsidRDefault="00447AFD" w:rsidP="00767D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9278" w14:textId="77777777" w:rsidR="00447AFD" w:rsidRPr="00C14DA0" w:rsidRDefault="00447AFD" w:rsidP="00B9470E">
    <w:pPr>
      <w:tabs>
        <w:tab w:val="right" w:pos="9400"/>
      </w:tabs>
      <w:spacing w:line="240" w:lineRule="auto"/>
      <w:rPr>
        <w:rFonts w:ascii="Times New Roman" w:hAnsi="Times New Roman" w:cs="Times New Roman"/>
        <w:sz w:val="15"/>
        <w:lang w:val="pl-P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68C2" w14:textId="77777777" w:rsidR="00447AFD" w:rsidRPr="00873973" w:rsidRDefault="00447AFD" w:rsidP="00B9470E">
    <w:pPr>
      <w:tabs>
        <w:tab w:val="right" w:pos="9400"/>
      </w:tabs>
      <w:spacing w:line="240" w:lineRule="auto"/>
      <w:rPr>
        <w:rFonts w:ascii="Times New Roman" w:hAnsi="Times New Roman" w:cs="Times New Roman"/>
        <w:sz w:val="15"/>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FA8F4" w14:textId="77777777" w:rsidR="00131B63" w:rsidRDefault="00131B63" w:rsidP="00767D38">
      <w:r>
        <w:separator/>
      </w:r>
    </w:p>
    <w:p w14:paraId="68A18AD4" w14:textId="77777777" w:rsidR="00131B63" w:rsidRDefault="00131B63" w:rsidP="00767D38"/>
  </w:footnote>
  <w:footnote w:type="continuationSeparator" w:id="0">
    <w:p w14:paraId="7E45ACE9" w14:textId="77777777" w:rsidR="00131B63" w:rsidRDefault="00131B63" w:rsidP="00767D38">
      <w:r>
        <w:continuationSeparator/>
      </w:r>
    </w:p>
    <w:p w14:paraId="520761E7" w14:textId="77777777" w:rsidR="00131B63" w:rsidRDefault="00131B63" w:rsidP="00767D38"/>
  </w:footnote>
  <w:footnote w:type="continuationNotice" w:id="1">
    <w:p w14:paraId="3F551557" w14:textId="77777777" w:rsidR="00131B63" w:rsidRDefault="00131B63">
      <w:pPr>
        <w:spacing w:after="0" w:line="240" w:lineRule="auto"/>
      </w:pPr>
    </w:p>
  </w:footnote>
  <w:footnote w:id="2">
    <w:p w14:paraId="58425EF1" w14:textId="312D7148" w:rsidR="002D6309" w:rsidRPr="002D6309" w:rsidRDefault="002D6309">
      <w:pPr>
        <w:pStyle w:val="FootnoteText"/>
        <w:rPr>
          <w:lang w:val="pl-PL"/>
        </w:rPr>
      </w:pPr>
      <w:r>
        <w:rPr>
          <w:rStyle w:val="FootnoteReference"/>
        </w:rPr>
        <w:footnoteRef/>
      </w:r>
      <w:r w:rsidRPr="002D6309">
        <w:rPr>
          <w:lang w:val="pl-PL"/>
        </w:rPr>
        <w:t xml:space="preserve"> Pro- forma: z wyłączeniem wkładu Irlandii, francuskich centrów danych oraz działalności w zakresie eksploatacji i utrzymania w Hiszpanii.</w:t>
      </w:r>
    </w:p>
  </w:footnote>
  <w:footnote w:id="3">
    <w:p w14:paraId="50C95FA4" w14:textId="1CAD22DB" w:rsidR="00A748D8" w:rsidRPr="00A748D8" w:rsidRDefault="00A748D8">
      <w:pPr>
        <w:pStyle w:val="FootnoteText"/>
        <w:rPr>
          <w:lang w:val="pl-PL"/>
        </w:rPr>
      </w:pPr>
      <w:r>
        <w:rPr>
          <w:rStyle w:val="FootnoteReference"/>
        </w:rPr>
        <w:footnoteRef/>
      </w:r>
      <w:r w:rsidRPr="00A748D8">
        <w:rPr>
          <w:lang w:val="pl-PL"/>
        </w:rPr>
        <w:t xml:space="preserve"> Więcej informacji na temat warunków programu skupu akcji własnych można znaleźć w informacji poufnej (IP) dostępnej na stronie internetowej hiszpańskiej Krajowej Komisji Rynku Papierów Wartościowych (CNMV) pod adresem www.cnmv.es oraz na stronie internetowej spółki: www.cellnex.com.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8D97" w14:textId="77777777" w:rsidR="00447AFD" w:rsidRDefault="00D21882" w:rsidP="00A143A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7765">
      <w:rPr>
        <w:rStyle w:val="PageNumber"/>
        <w:noProof/>
      </w:rPr>
      <w:t>1</w:t>
    </w:r>
    <w:r>
      <w:rPr>
        <w:rStyle w:val="PageNumber"/>
      </w:rPr>
      <w:fldChar w:fldCharType="end"/>
    </w:r>
  </w:p>
  <w:p w14:paraId="3FB0DB8F" w14:textId="77777777" w:rsidR="00447AFD" w:rsidRDefault="00447AFD" w:rsidP="00A143A2">
    <w:pPr>
      <w:pStyle w:val="Header"/>
      <w:ind w:right="360"/>
      <w:rPr>
        <w:rStyle w:val="PageNumber"/>
      </w:rPr>
    </w:pPr>
  </w:p>
  <w:p w14:paraId="7EE3C09B" w14:textId="77777777" w:rsidR="00447AFD" w:rsidRDefault="00447AFD" w:rsidP="00767D38">
    <w:pPr>
      <w:pStyle w:val="Header"/>
    </w:pPr>
  </w:p>
  <w:p w14:paraId="0260FB57" w14:textId="77777777" w:rsidR="00447AFD" w:rsidRDefault="00447AFD" w:rsidP="00767D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4146" w14:textId="77777777" w:rsidR="00447AFD" w:rsidRDefault="00A62066" w:rsidP="00F15947">
    <w:pPr>
      <w:pStyle w:val="Header"/>
      <w:ind w:right="360"/>
      <w:rPr>
        <w:rStyle w:val="PageNumber"/>
        <w:color w:val="003652"/>
        <w:sz w:val="18"/>
        <w:szCs w:val="18"/>
      </w:rPr>
    </w:pPr>
    <w:r>
      <w:rPr>
        <w:noProof/>
        <w:lang w:val="es-ES"/>
      </w:rPr>
      <mc:AlternateContent>
        <mc:Choice Requires="wps">
          <w:drawing>
            <wp:anchor distT="0" distB="0" distL="114300" distR="114300" simplePos="0" relativeHeight="251641856" behindDoc="0" locked="0" layoutInCell="1" allowOverlap="1" wp14:anchorId="73A7B04A" wp14:editId="0A2D558C">
              <wp:simplePos x="0" y="0"/>
              <wp:positionH relativeFrom="margin">
                <wp:align>right</wp:align>
              </wp:positionH>
              <wp:positionV relativeFrom="paragraph">
                <wp:posOffset>259080</wp:posOffset>
              </wp:positionV>
              <wp:extent cx="1630045" cy="243205"/>
              <wp:effectExtent l="0" t="0" r="8255" b="4445"/>
              <wp:wrapNone/>
              <wp:docPr id="7" name="Cuadro de texto 11"/>
              <wp:cNvGraphicFramePr/>
              <a:graphic xmlns:a="http://schemas.openxmlformats.org/drawingml/2006/main">
                <a:graphicData uri="http://schemas.microsoft.com/office/word/2010/wordprocessingShape">
                  <wps:wsp>
                    <wps:cNvSpPr txBox="1"/>
                    <wps:spPr>
                      <a:xfrm>
                        <a:off x="0" y="0"/>
                        <a:ext cx="1630045" cy="2432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D1B104" w14:textId="77777777" w:rsidR="00997176" w:rsidRPr="00A62066" w:rsidRDefault="00997176" w:rsidP="00997176">
                          <w:pPr>
                            <w:pStyle w:val="webcabecera"/>
                            <w:rPr>
                              <w:i w:val="0"/>
                              <w:iCs/>
                              <w:sz w:val="20"/>
                              <w:szCs w:val="20"/>
                            </w:rPr>
                          </w:pPr>
                          <w:r>
                            <w:fldChar w:fldCharType="begin"/>
                          </w:r>
                          <w:r>
                            <w:instrText>HYPERLINK "https://www.cellnex.com/mediacenter/news/"</w:instrText>
                          </w:r>
                          <w:r>
                            <w:fldChar w:fldCharType="separate"/>
                          </w:r>
                          <w:r w:rsidRPr="00A62066">
                            <w:rPr>
                              <w:rStyle w:val="Hyperlink"/>
                              <w:i w:val="0"/>
                              <w:iCs/>
                              <w:sz w:val="20"/>
                              <w:szCs w:val="20"/>
                              <w:lang w:val="en-GB"/>
                            </w:rPr>
                            <w:t>News - Cellnex</w:t>
                          </w:r>
                          <w:r>
                            <w:fldChar w:fldCharType="end"/>
                          </w:r>
                        </w:p>
                        <w:p w14:paraId="4080A52B" w14:textId="77777777" w:rsidR="00447AFD" w:rsidRPr="00A62066" w:rsidRDefault="00447AFD" w:rsidP="00A143A2">
                          <w:pPr>
                            <w:pStyle w:val="webcabecera"/>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3A7B04A" id="_x0000_t202" coordsize="21600,21600" o:spt="202" path="m,l,21600r21600,l21600,xe">
              <v:stroke joinstyle="miter"/>
              <v:path gradientshapeok="t" o:connecttype="rect"/>
            </v:shapetype>
            <v:shape id="Cuadro de texto 11" o:spid="_x0000_s1037" type="#_x0000_t202" style="position:absolute;left:0;text-align:left;margin-left:77.15pt;margin-top:20.4pt;width:128.35pt;height:19.15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" filled="f" stroked="f">
              <v:textbox inset="0,0,0,0">
                <w:txbxContent>
                  <w:p w14:paraId="0DD1B104" w14:textId="77777777" w:rsidR="00997176" w:rsidRPr="00A62066" w:rsidRDefault="00997176" w:rsidP="00997176">
                    <w:pPr>
                      <w:pStyle w:val="webcabecera"/>
                      <w:rPr>
                        <w:i w:val="0"/>
                        <w:iCs/>
                        <w:sz w:val="20"/>
                        <w:szCs w:val="20"/>
                      </w:rPr>
                    </w:pPr>
                    <w:r>
                      <w:fldChar w:fldCharType="begin"/>
                    </w:r>
                    <w:r>
                      <w:instrText>HYPERLINK "https://www.cellnex.com/mediacenter/news/"</w:instrText>
                    </w:r>
                    <w:r>
                      <w:fldChar w:fldCharType="separate"/>
                    </w:r>
                    <w:r w:rsidRPr="00A62066">
                      <w:rPr>
                        <w:rStyle w:val="Hyperlink"/>
                        <w:i w:val="0"/>
                        <w:iCs/>
                        <w:sz w:val="20"/>
                        <w:szCs w:val="20"/>
                        <w:lang w:val="en-GB"/>
                      </w:rPr>
                      <w:t>News - Cellnex</w:t>
                    </w:r>
                    <w:r>
                      <w:fldChar w:fldCharType="end"/>
                    </w:r>
                  </w:p>
                  <w:p w14:paraId="4080A52B" w14:textId="77777777" w:rsidR="00447AFD" w:rsidRPr="00A62066" w:rsidRDefault="00447AFD" w:rsidP="00A143A2">
                    <w:pPr>
                      <w:pStyle w:val="webcabecera"/>
                      <w:rPr>
                        <w:sz w:val="20"/>
                        <w:szCs w:val="20"/>
                      </w:rPr>
                    </w:pPr>
                  </w:p>
                </w:txbxContent>
              </v:textbox>
              <w10:wrap anchorx="margin"/>
            </v:shape>
          </w:pict>
        </mc:Fallback>
      </mc:AlternateContent>
    </w:r>
    <w:r>
      <w:rPr>
        <w:noProof/>
        <w:lang w:val="es-ES"/>
      </w:rPr>
      <w:drawing>
        <wp:anchor distT="0" distB="0" distL="114300" distR="114300" simplePos="0" relativeHeight="251734016" behindDoc="1" locked="0" layoutInCell="1" allowOverlap="1" wp14:anchorId="106E4BFF" wp14:editId="08E15FC4">
          <wp:simplePos x="0" y="0"/>
          <wp:positionH relativeFrom="margin">
            <wp:align>left</wp:align>
          </wp:positionH>
          <wp:positionV relativeFrom="paragraph">
            <wp:posOffset>-635</wp:posOffset>
          </wp:positionV>
          <wp:extent cx="1666875" cy="548640"/>
          <wp:effectExtent l="0" t="0" r="0" b="0"/>
          <wp:wrapTight wrapText="bothSides">
            <wp:wrapPolygon edited="0">
              <wp:start x="17033" y="750"/>
              <wp:lineTo x="6912" y="4500"/>
              <wp:lineTo x="247" y="9000"/>
              <wp:lineTo x="741" y="17250"/>
              <wp:lineTo x="987" y="18750"/>
              <wp:lineTo x="18761" y="18750"/>
              <wp:lineTo x="18267" y="15000"/>
              <wp:lineTo x="18021" y="14250"/>
              <wp:lineTo x="21230" y="9750"/>
              <wp:lineTo x="21230" y="6000"/>
              <wp:lineTo x="19008" y="750"/>
              <wp:lineTo x="17033" y="750"/>
            </wp:wrapPolygon>
          </wp:wrapTight>
          <wp:docPr id="172612370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02194" name="Imagen 1" descr="Logotip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15447" t="18254" r="13414" b="19900"/>
                  <a:stretch>
                    <a:fillRect/>
                  </a:stretch>
                </pic:blipFill>
                <pic:spPr bwMode="auto">
                  <a:xfrm>
                    <a:off x="0" y="0"/>
                    <a:ext cx="1666875" cy="548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1882">
      <w:rPr>
        <w:rStyle w:val="PageNumber"/>
        <w:color w:val="003652"/>
        <w:sz w:val="18"/>
        <w:szCs w:val="18"/>
        <w:lang w:val="en-GB"/>
      </w:rPr>
      <w:softHyphen/>
    </w:r>
    <w:r w:rsidR="00D21882" w:rsidRPr="00A143A2">
      <w:rPr>
        <w:noProof/>
        <w:lang w:val="en-GB"/>
      </w:rPr>
      <w:t xml:space="preserve"> </w:t>
    </w:r>
  </w:p>
  <w:p w14:paraId="224D3DBC" w14:textId="77777777" w:rsidR="00447AFD" w:rsidRPr="00F15947" w:rsidRDefault="00447AFD" w:rsidP="00F15947">
    <w:pPr>
      <w:pStyle w:val="Header"/>
      <w:ind w:right="360"/>
      <w:rPr>
        <w:color w:val="003652"/>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0718" w14:textId="77777777" w:rsidR="00447AFD" w:rsidRDefault="00A62066" w:rsidP="00D00512">
    <w:pPr>
      <w:pStyle w:val="FootnoteText"/>
      <w:jc w:val="both"/>
      <w:rPr>
        <w:rFonts w:ascii="Cambria" w:hAnsi="Cambria"/>
        <w:lang w:val="es-ES"/>
      </w:rPr>
    </w:pPr>
    <w:r>
      <w:rPr>
        <w:noProof/>
        <w:lang w:val="es-ES"/>
      </w:rPr>
      <w:drawing>
        <wp:anchor distT="0" distB="0" distL="114300" distR="114300" simplePos="0" relativeHeight="251703296" behindDoc="1" locked="0" layoutInCell="1" allowOverlap="1" wp14:anchorId="067872A5" wp14:editId="61B064B9">
          <wp:simplePos x="0" y="0"/>
          <wp:positionH relativeFrom="margin">
            <wp:align>left</wp:align>
          </wp:positionH>
          <wp:positionV relativeFrom="paragraph">
            <wp:posOffset>6985</wp:posOffset>
          </wp:positionV>
          <wp:extent cx="1666875" cy="548640"/>
          <wp:effectExtent l="0" t="0" r="0" b="0"/>
          <wp:wrapTight wrapText="bothSides">
            <wp:wrapPolygon edited="0">
              <wp:start x="17033" y="750"/>
              <wp:lineTo x="6912" y="4500"/>
              <wp:lineTo x="247" y="9000"/>
              <wp:lineTo x="741" y="17250"/>
              <wp:lineTo x="987" y="18750"/>
              <wp:lineTo x="18761" y="18750"/>
              <wp:lineTo x="18267" y="15000"/>
              <wp:lineTo x="18021" y="14250"/>
              <wp:lineTo x="21230" y="9750"/>
              <wp:lineTo x="21230" y="6000"/>
              <wp:lineTo x="19008" y="750"/>
              <wp:lineTo x="17033" y="750"/>
            </wp:wrapPolygon>
          </wp:wrapTight>
          <wp:docPr id="199756666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02194" name="Imagen 1" descr="Logotip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15447" t="18254" r="13414" b="19900"/>
                  <a:stretch>
                    <a:fillRect/>
                  </a:stretch>
                </pic:blipFill>
                <pic:spPr bwMode="auto">
                  <a:xfrm>
                    <a:off x="0" y="0"/>
                    <a:ext cx="1666875" cy="548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31CE93" w14:textId="77777777" w:rsidR="00447AFD" w:rsidRDefault="00947EF6" w:rsidP="00D00512">
    <w:pPr>
      <w:pStyle w:val="FootnoteText"/>
      <w:jc w:val="both"/>
      <w:rPr>
        <w:rFonts w:ascii="Cambria" w:hAnsi="Cambria"/>
        <w:lang w:val="es-ES"/>
      </w:rPr>
    </w:pPr>
    <w:r>
      <w:rPr>
        <w:rFonts w:ascii="Cambria" w:hAnsi="Cambria"/>
        <w:noProof/>
        <w:lang w:val="es-ES" w:eastAsia="es-ES"/>
      </w:rPr>
      <mc:AlternateContent>
        <mc:Choice Requires="wps">
          <w:drawing>
            <wp:anchor distT="0" distB="0" distL="114300" distR="114300" simplePos="0" relativeHeight="251672576" behindDoc="0" locked="0" layoutInCell="1" allowOverlap="1" wp14:anchorId="6925FC3B" wp14:editId="62E5D2F0">
              <wp:simplePos x="0" y="0"/>
              <wp:positionH relativeFrom="margin">
                <wp:posOffset>3535046</wp:posOffset>
              </wp:positionH>
              <wp:positionV relativeFrom="paragraph">
                <wp:posOffset>10795</wp:posOffset>
              </wp:positionV>
              <wp:extent cx="2381250" cy="405765"/>
              <wp:effectExtent l="0" t="0" r="0" b="0"/>
              <wp:wrapNone/>
              <wp:docPr id="1112366447" name="Cuadro de texto 7"/>
              <wp:cNvGraphicFramePr/>
              <a:graphic xmlns:a="http://schemas.openxmlformats.org/drawingml/2006/main">
                <a:graphicData uri="http://schemas.microsoft.com/office/word/2010/wordprocessingShape">
                  <wps:wsp>
                    <wps:cNvSpPr txBox="1"/>
                    <wps:spPr>
                      <a:xfrm>
                        <a:off x="0" y="0"/>
                        <a:ext cx="2381250" cy="405765"/>
                      </a:xfrm>
                      <a:prstGeom prst="rect">
                        <a:avLst/>
                      </a:prstGeom>
                      <a:solidFill>
                        <a:sysClr val="window" lastClr="FFFFFF"/>
                      </a:solidFill>
                      <a:ln w="6350">
                        <a:noFill/>
                      </a:ln>
                      <a:effectLst/>
                    </wps:spPr>
                    <wps:txbx>
                      <w:txbxContent>
                        <w:p w14:paraId="00337843" w14:textId="3BE9811B" w:rsidR="00947EF6" w:rsidRPr="00A62066" w:rsidRDefault="004A6B72" w:rsidP="00A62066">
                          <w:pPr>
                            <w:spacing w:line="276" w:lineRule="auto"/>
                            <w:jc w:val="right"/>
                            <w:rPr>
                              <w:rFonts w:asciiTheme="minorHAnsi" w:hAnsiTheme="minorHAnsi" w:cstheme="minorHAnsi"/>
                              <w:color w:val="425563"/>
                              <w:sz w:val="36"/>
                              <w:szCs w:val="36"/>
                            </w:rPr>
                          </w:pPr>
                          <w:proofErr w:type="spellStart"/>
                          <w:r>
                            <w:rPr>
                              <w:rFonts w:asciiTheme="minorHAnsi" w:hAnsiTheme="minorHAnsi" w:cstheme="minorHAnsi"/>
                              <w:color w:val="425563"/>
                              <w:sz w:val="36"/>
                              <w:szCs w:val="36"/>
                              <w:lang w:val="en-GB"/>
                            </w:rPr>
                            <w:t>Informacja</w:t>
                          </w:r>
                          <w:proofErr w:type="spellEnd"/>
                          <w:r>
                            <w:rPr>
                              <w:rFonts w:asciiTheme="minorHAnsi" w:hAnsiTheme="minorHAnsi" w:cstheme="minorHAnsi"/>
                              <w:color w:val="425563"/>
                              <w:sz w:val="36"/>
                              <w:szCs w:val="36"/>
                              <w:lang w:val="en-GB"/>
                            </w:rPr>
                            <w:t xml:space="preserve"> </w:t>
                          </w:r>
                          <w:proofErr w:type="spellStart"/>
                          <w:r>
                            <w:rPr>
                              <w:rFonts w:asciiTheme="minorHAnsi" w:hAnsiTheme="minorHAnsi" w:cstheme="minorHAnsi"/>
                              <w:color w:val="425563"/>
                              <w:sz w:val="36"/>
                              <w:szCs w:val="36"/>
                              <w:lang w:val="en-GB"/>
                            </w:rPr>
                            <w:t>prasowa</w:t>
                          </w:r>
                          <w:proofErr w:type="spellEnd"/>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w14:anchorId="6925FC3B" id="_x0000_t202" coordsize="21600,21600" o:spt="202" path="m,l,21600r21600,l21600,xe">
              <v:stroke joinstyle="miter"/>
              <v:path gradientshapeok="t" o:connecttype="rect"/>
            </v:shapetype>
            <v:shape id="Cuadro de texto 7" o:spid="_x0000_s1038" type="#_x0000_t202" style="position:absolute;left:0;text-align:left;margin-left:278.35pt;margin-top:.85pt;width:187.5pt;height:31.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" fillcolor="window" stroked="f" strokeweight=".5pt">
              <v:textbox>
                <w:txbxContent>
                  <w:p w14:paraId="00337843" w14:textId="3BE9811B" w:rsidR="00947EF6" w:rsidRPr="00A62066" w:rsidRDefault="004A6B72" w:rsidP="00A62066">
                    <w:pPr>
                      <w:spacing w:line="276" w:lineRule="auto"/>
                      <w:jc w:val="right"/>
                      <w:rPr>
                        <w:rFonts w:asciiTheme="minorHAnsi" w:hAnsiTheme="minorHAnsi" w:cstheme="minorHAnsi"/>
                        <w:color w:val="425563"/>
                        <w:sz w:val="36"/>
                        <w:szCs w:val="36"/>
                      </w:rPr>
                    </w:pPr>
                    <w:proofErr w:type="spellStart"/>
                    <w:r>
                      <w:rPr>
                        <w:rFonts w:asciiTheme="minorHAnsi" w:hAnsiTheme="minorHAnsi" w:cstheme="minorHAnsi"/>
                        <w:color w:val="425563"/>
                        <w:sz w:val="36"/>
                        <w:szCs w:val="36"/>
                        <w:lang w:val="en-GB"/>
                      </w:rPr>
                      <w:t>Informacja</w:t>
                    </w:r>
                    <w:proofErr w:type="spellEnd"/>
                    <w:r>
                      <w:rPr>
                        <w:rFonts w:asciiTheme="minorHAnsi" w:hAnsiTheme="minorHAnsi" w:cstheme="minorHAnsi"/>
                        <w:color w:val="425563"/>
                        <w:sz w:val="36"/>
                        <w:szCs w:val="36"/>
                        <w:lang w:val="en-GB"/>
                      </w:rPr>
                      <w:t xml:space="preserve"> </w:t>
                    </w:r>
                    <w:proofErr w:type="spellStart"/>
                    <w:r>
                      <w:rPr>
                        <w:rFonts w:asciiTheme="minorHAnsi" w:hAnsiTheme="minorHAnsi" w:cstheme="minorHAnsi"/>
                        <w:color w:val="425563"/>
                        <w:sz w:val="36"/>
                        <w:szCs w:val="36"/>
                        <w:lang w:val="en-GB"/>
                      </w:rPr>
                      <w:t>prasowa</w:t>
                    </w:r>
                    <w:proofErr w:type="spellEnd"/>
                  </w:p>
                </w:txbxContent>
              </v:textbox>
              <w10:wrap anchorx="margin"/>
            </v:shape>
          </w:pict>
        </mc:Fallback>
      </mc:AlternateContent>
    </w:r>
    <w:r w:rsidRPr="00D3083A">
      <w:rPr>
        <w:noProof/>
        <w:sz w:val="22"/>
        <w:szCs w:val="22"/>
        <w:lang w:val="es-ES" w:eastAsia="es-ES"/>
      </w:rPr>
      <w:drawing>
        <wp:anchor distT="0" distB="0" distL="114300" distR="114300" simplePos="0" relativeHeight="251611136" behindDoc="0" locked="0" layoutInCell="1" allowOverlap="1" wp14:anchorId="1EE58FF8" wp14:editId="67D0CD7F">
          <wp:simplePos x="0" y="0"/>
          <wp:positionH relativeFrom="column">
            <wp:posOffset>4116070</wp:posOffset>
          </wp:positionH>
          <wp:positionV relativeFrom="paragraph">
            <wp:posOffset>53340</wp:posOffset>
          </wp:positionV>
          <wp:extent cx="1747520" cy="233680"/>
          <wp:effectExtent l="0" t="0" r="5080" b="0"/>
          <wp:wrapNone/>
          <wp:docPr id="19348059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6687" name="Imagen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47520" cy="233680"/>
                  </a:xfrm>
                  <a:prstGeom prst="rect">
                    <a:avLst/>
                  </a:prstGeom>
                  <a:noFill/>
                </pic:spPr>
              </pic:pic>
            </a:graphicData>
          </a:graphic>
          <wp14:sizeRelH relativeFrom="margin">
            <wp14:pctWidth>0</wp14:pctWidth>
          </wp14:sizeRelH>
          <wp14:sizeRelV relativeFrom="margin">
            <wp14:pctHeight>0</wp14:pctHeight>
          </wp14:sizeRelV>
        </wp:anchor>
      </w:drawing>
    </w:r>
  </w:p>
  <w:p w14:paraId="51995D15" w14:textId="77777777" w:rsidR="00447AFD" w:rsidRDefault="00447AFD" w:rsidP="00D00512">
    <w:pPr>
      <w:pStyle w:val="FootnoteText"/>
      <w:jc w:val="both"/>
      <w:rPr>
        <w:rFonts w:ascii="Cambria" w:hAnsi="Cambria"/>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1849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D93C41"/>
    <w:multiLevelType w:val="hybridMultilevel"/>
    <w:tmpl w:val="71F2C7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CE48EC"/>
    <w:multiLevelType w:val="hybridMultilevel"/>
    <w:tmpl w:val="CAF82C82"/>
    <w:lvl w:ilvl="0" w:tplc="8D7668A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36269FA"/>
    <w:multiLevelType w:val="hybridMultilevel"/>
    <w:tmpl w:val="C666D4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375A3A6D"/>
    <w:multiLevelType w:val="multilevel"/>
    <w:tmpl w:val="4B4C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A93947"/>
    <w:multiLevelType w:val="hybridMultilevel"/>
    <w:tmpl w:val="25F6C786"/>
    <w:lvl w:ilvl="0" w:tplc="E7EAA8D0">
      <w:start w:val="1"/>
      <w:numFmt w:val="lowerLetter"/>
      <w:lvlText w:val="%1)"/>
      <w:lvlJc w:val="left"/>
      <w:pPr>
        <w:tabs>
          <w:tab w:val="num" w:pos="360"/>
        </w:tabs>
        <w:ind w:left="360" w:hanging="360"/>
      </w:pPr>
    </w:lvl>
    <w:lvl w:ilvl="1" w:tplc="C4162D7A" w:tentative="1">
      <w:start w:val="1"/>
      <w:numFmt w:val="lowerLetter"/>
      <w:lvlText w:val="%2)"/>
      <w:lvlJc w:val="left"/>
      <w:pPr>
        <w:tabs>
          <w:tab w:val="num" w:pos="1080"/>
        </w:tabs>
        <w:ind w:left="1080" w:hanging="360"/>
      </w:pPr>
    </w:lvl>
    <w:lvl w:ilvl="2" w:tplc="FE582CC8" w:tentative="1">
      <w:start w:val="1"/>
      <w:numFmt w:val="lowerLetter"/>
      <w:lvlText w:val="%3)"/>
      <w:lvlJc w:val="left"/>
      <w:pPr>
        <w:tabs>
          <w:tab w:val="num" w:pos="1800"/>
        </w:tabs>
        <w:ind w:left="1800" w:hanging="360"/>
      </w:pPr>
    </w:lvl>
    <w:lvl w:ilvl="3" w:tplc="68CCE24A" w:tentative="1">
      <w:start w:val="1"/>
      <w:numFmt w:val="lowerLetter"/>
      <w:lvlText w:val="%4)"/>
      <w:lvlJc w:val="left"/>
      <w:pPr>
        <w:tabs>
          <w:tab w:val="num" w:pos="2520"/>
        </w:tabs>
        <w:ind w:left="2520" w:hanging="360"/>
      </w:pPr>
    </w:lvl>
    <w:lvl w:ilvl="4" w:tplc="BE4043F6" w:tentative="1">
      <w:start w:val="1"/>
      <w:numFmt w:val="lowerLetter"/>
      <w:lvlText w:val="%5)"/>
      <w:lvlJc w:val="left"/>
      <w:pPr>
        <w:tabs>
          <w:tab w:val="num" w:pos="3240"/>
        </w:tabs>
        <w:ind w:left="3240" w:hanging="360"/>
      </w:pPr>
    </w:lvl>
    <w:lvl w:ilvl="5" w:tplc="B448C0C2" w:tentative="1">
      <w:start w:val="1"/>
      <w:numFmt w:val="lowerLetter"/>
      <w:lvlText w:val="%6)"/>
      <w:lvlJc w:val="left"/>
      <w:pPr>
        <w:tabs>
          <w:tab w:val="num" w:pos="3960"/>
        </w:tabs>
        <w:ind w:left="3960" w:hanging="360"/>
      </w:pPr>
    </w:lvl>
    <w:lvl w:ilvl="6" w:tplc="8B3C1D76" w:tentative="1">
      <w:start w:val="1"/>
      <w:numFmt w:val="lowerLetter"/>
      <w:lvlText w:val="%7)"/>
      <w:lvlJc w:val="left"/>
      <w:pPr>
        <w:tabs>
          <w:tab w:val="num" w:pos="4680"/>
        </w:tabs>
        <w:ind w:left="4680" w:hanging="360"/>
      </w:pPr>
    </w:lvl>
    <w:lvl w:ilvl="7" w:tplc="AAF4CEEA" w:tentative="1">
      <w:start w:val="1"/>
      <w:numFmt w:val="lowerLetter"/>
      <w:lvlText w:val="%8)"/>
      <w:lvlJc w:val="left"/>
      <w:pPr>
        <w:tabs>
          <w:tab w:val="num" w:pos="5400"/>
        </w:tabs>
        <w:ind w:left="5400" w:hanging="360"/>
      </w:pPr>
    </w:lvl>
    <w:lvl w:ilvl="8" w:tplc="A6689742" w:tentative="1">
      <w:start w:val="1"/>
      <w:numFmt w:val="lowerLetter"/>
      <w:lvlText w:val="%9)"/>
      <w:lvlJc w:val="left"/>
      <w:pPr>
        <w:tabs>
          <w:tab w:val="num" w:pos="6120"/>
        </w:tabs>
        <w:ind w:left="6120" w:hanging="360"/>
      </w:pPr>
    </w:lvl>
  </w:abstractNum>
  <w:abstractNum w:abstractNumId="6" w15:restartNumberingAfterBreak="0">
    <w:nsid w:val="48547D71"/>
    <w:multiLevelType w:val="hybridMultilevel"/>
    <w:tmpl w:val="D9C29F36"/>
    <w:lvl w:ilvl="0" w:tplc="61C2ED20">
      <w:start w:val="1"/>
      <w:numFmt w:val="lowerLetter"/>
      <w:lvlText w:val="(%1)"/>
      <w:lvlJc w:val="left"/>
      <w:pPr>
        <w:ind w:left="360" w:hanging="360"/>
      </w:pPr>
      <w:rPr>
        <w:rFonts w:ascii="Calibri" w:eastAsia="MS Mincho" w:hAnsi="Calibri" w:cstheme="minorBidi"/>
        <w:sz w:val="1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51A15883"/>
    <w:multiLevelType w:val="hybridMultilevel"/>
    <w:tmpl w:val="AD90DD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E0C3C30"/>
    <w:multiLevelType w:val="hybridMultilevel"/>
    <w:tmpl w:val="212CF950"/>
    <w:lvl w:ilvl="0" w:tplc="0D1C6E32">
      <w:start w:val="1"/>
      <w:numFmt w:val="bullet"/>
      <w:pStyle w:val="Cuadrculamedia1-nfasis21"/>
      <w:lvlText w:val=""/>
      <w:lvlJc w:val="left"/>
      <w:pPr>
        <w:ind w:left="360" w:hanging="360"/>
      </w:pPr>
      <w:rPr>
        <w:rFonts w:ascii="Wingdings" w:hAnsi="Wingdings" w:hint="default"/>
        <w:color w:val="003652"/>
        <w:sz w:val="14"/>
        <w:szCs w:val="14"/>
      </w:rPr>
    </w:lvl>
    <w:lvl w:ilvl="1" w:tplc="6060B604" w:tentative="1">
      <w:start w:val="1"/>
      <w:numFmt w:val="bullet"/>
      <w:lvlText w:val="o"/>
      <w:lvlJc w:val="left"/>
      <w:pPr>
        <w:ind w:left="1080" w:hanging="360"/>
      </w:pPr>
      <w:rPr>
        <w:rFonts w:ascii="Courier New" w:hAnsi="Courier New" w:cs="Courier New" w:hint="default"/>
      </w:rPr>
    </w:lvl>
    <w:lvl w:ilvl="2" w:tplc="5400FBD4" w:tentative="1">
      <w:start w:val="1"/>
      <w:numFmt w:val="bullet"/>
      <w:lvlText w:val=""/>
      <w:lvlJc w:val="left"/>
      <w:pPr>
        <w:ind w:left="1800" w:hanging="360"/>
      </w:pPr>
      <w:rPr>
        <w:rFonts w:ascii="Wingdings" w:hAnsi="Wingdings" w:hint="default"/>
      </w:rPr>
    </w:lvl>
    <w:lvl w:ilvl="3" w:tplc="9FB2D91A" w:tentative="1">
      <w:start w:val="1"/>
      <w:numFmt w:val="bullet"/>
      <w:lvlText w:val=""/>
      <w:lvlJc w:val="left"/>
      <w:pPr>
        <w:ind w:left="2520" w:hanging="360"/>
      </w:pPr>
      <w:rPr>
        <w:rFonts w:ascii="Symbol" w:hAnsi="Symbol" w:hint="default"/>
      </w:rPr>
    </w:lvl>
    <w:lvl w:ilvl="4" w:tplc="586C97B4" w:tentative="1">
      <w:start w:val="1"/>
      <w:numFmt w:val="bullet"/>
      <w:lvlText w:val="o"/>
      <w:lvlJc w:val="left"/>
      <w:pPr>
        <w:ind w:left="3240" w:hanging="360"/>
      </w:pPr>
      <w:rPr>
        <w:rFonts w:ascii="Courier New" w:hAnsi="Courier New" w:cs="Courier New" w:hint="default"/>
      </w:rPr>
    </w:lvl>
    <w:lvl w:ilvl="5" w:tplc="5E3CBF00" w:tentative="1">
      <w:start w:val="1"/>
      <w:numFmt w:val="bullet"/>
      <w:lvlText w:val=""/>
      <w:lvlJc w:val="left"/>
      <w:pPr>
        <w:ind w:left="3960" w:hanging="360"/>
      </w:pPr>
      <w:rPr>
        <w:rFonts w:ascii="Wingdings" w:hAnsi="Wingdings" w:hint="default"/>
      </w:rPr>
    </w:lvl>
    <w:lvl w:ilvl="6" w:tplc="0DB05960" w:tentative="1">
      <w:start w:val="1"/>
      <w:numFmt w:val="bullet"/>
      <w:lvlText w:val=""/>
      <w:lvlJc w:val="left"/>
      <w:pPr>
        <w:ind w:left="4680" w:hanging="360"/>
      </w:pPr>
      <w:rPr>
        <w:rFonts w:ascii="Symbol" w:hAnsi="Symbol" w:hint="default"/>
      </w:rPr>
    </w:lvl>
    <w:lvl w:ilvl="7" w:tplc="4C1E9DF6" w:tentative="1">
      <w:start w:val="1"/>
      <w:numFmt w:val="bullet"/>
      <w:lvlText w:val="o"/>
      <w:lvlJc w:val="left"/>
      <w:pPr>
        <w:ind w:left="5400" w:hanging="360"/>
      </w:pPr>
      <w:rPr>
        <w:rFonts w:ascii="Courier New" w:hAnsi="Courier New" w:cs="Courier New" w:hint="default"/>
      </w:rPr>
    </w:lvl>
    <w:lvl w:ilvl="8" w:tplc="7D5A8776" w:tentative="1">
      <w:start w:val="1"/>
      <w:numFmt w:val="bullet"/>
      <w:lvlText w:val=""/>
      <w:lvlJc w:val="left"/>
      <w:pPr>
        <w:ind w:left="6120" w:hanging="360"/>
      </w:pPr>
      <w:rPr>
        <w:rFonts w:ascii="Wingdings" w:hAnsi="Wingdings" w:hint="default"/>
      </w:rPr>
    </w:lvl>
  </w:abstractNum>
  <w:abstractNum w:abstractNumId="9" w15:restartNumberingAfterBreak="0">
    <w:nsid w:val="652041B4"/>
    <w:multiLevelType w:val="hybridMultilevel"/>
    <w:tmpl w:val="9A5A185C"/>
    <w:lvl w:ilvl="0" w:tplc="ECF29E9A">
      <w:start w:val="1"/>
      <w:numFmt w:val="decimal"/>
      <w:lvlText w:val="(%1)"/>
      <w:lvlJc w:val="left"/>
      <w:pPr>
        <w:tabs>
          <w:tab w:val="num" w:pos="360"/>
        </w:tabs>
        <w:ind w:left="360" w:hanging="360"/>
      </w:pPr>
    </w:lvl>
    <w:lvl w:ilvl="1" w:tplc="F56608A2" w:tentative="1">
      <w:start w:val="1"/>
      <w:numFmt w:val="decimal"/>
      <w:lvlText w:val="(%2)"/>
      <w:lvlJc w:val="left"/>
      <w:pPr>
        <w:tabs>
          <w:tab w:val="num" w:pos="1080"/>
        </w:tabs>
        <w:ind w:left="1080" w:hanging="360"/>
      </w:pPr>
    </w:lvl>
    <w:lvl w:ilvl="2" w:tplc="82486D62" w:tentative="1">
      <w:start w:val="1"/>
      <w:numFmt w:val="decimal"/>
      <w:lvlText w:val="(%3)"/>
      <w:lvlJc w:val="left"/>
      <w:pPr>
        <w:tabs>
          <w:tab w:val="num" w:pos="1800"/>
        </w:tabs>
        <w:ind w:left="1800" w:hanging="360"/>
      </w:pPr>
    </w:lvl>
    <w:lvl w:ilvl="3" w:tplc="D144C45A" w:tentative="1">
      <w:start w:val="1"/>
      <w:numFmt w:val="decimal"/>
      <w:lvlText w:val="(%4)"/>
      <w:lvlJc w:val="left"/>
      <w:pPr>
        <w:tabs>
          <w:tab w:val="num" w:pos="2520"/>
        </w:tabs>
        <w:ind w:left="2520" w:hanging="360"/>
      </w:pPr>
    </w:lvl>
    <w:lvl w:ilvl="4" w:tplc="5AD4E1FA" w:tentative="1">
      <w:start w:val="1"/>
      <w:numFmt w:val="decimal"/>
      <w:lvlText w:val="(%5)"/>
      <w:lvlJc w:val="left"/>
      <w:pPr>
        <w:tabs>
          <w:tab w:val="num" w:pos="3240"/>
        </w:tabs>
        <w:ind w:left="3240" w:hanging="360"/>
      </w:pPr>
    </w:lvl>
    <w:lvl w:ilvl="5" w:tplc="D87C9C9E" w:tentative="1">
      <w:start w:val="1"/>
      <w:numFmt w:val="decimal"/>
      <w:lvlText w:val="(%6)"/>
      <w:lvlJc w:val="left"/>
      <w:pPr>
        <w:tabs>
          <w:tab w:val="num" w:pos="3960"/>
        </w:tabs>
        <w:ind w:left="3960" w:hanging="360"/>
      </w:pPr>
    </w:lvl>
    <w:lvl w:ilvl="6" w:tplc="078A9A88" w:tentative="1">
      <w:start w:val="1"/>
      <w:numFmt w:val="decimal"/>
      <w:lvlText w:val="(%7)"/>
      <w:lvlJc w:val="left"/>
      <w:pPr>
        <w:tabs>
          <w:tab w:val="num" w:pos="4680"/>
        </w:tabs>
        <w:ind w:left="4680" w:hanging="360"/>
      </w:pPr>
    </w:lvl>
    <w:lvl w:ilvl="7" w:tplc="D3FABB38" w:tentative="1">
      <w:start w:val="1"/>
      <w:numFmt w:val="decimal"/>
      <w:lvlText w:val="(%8)"/>
      <w:lvlJc w:val="left"/>
      <w:pPr>
        <w:tabs>
          <w:tab w:val="num" w:pos="5400"/>
        </w:tabs>
        <w:ind w:left="5400" w:hanging="360"/>
      </w:pPr>
    </w:lvl>
    <w:lvl w:ilvl="8" w:tplc="DDF6BA8E" w:tentative="1">
      <w:start w:val="1"/>
      <w:numFmt w:val="decimal"/>
      <w:lvlText w:val="(%9)"/>
      <w:lvlJc w:val="left"/>
      <w:pPr>
        <w:tabs>
          <w:tab w:val="num" w:pos="6120"/>
        </w:tabs>
        <w:ind w:left="6120" w:hanging="360"/>
      </w:pPr>
    </w:lvl>
  </w:abstractNum>
  <w:num w:numId="1" w16cid:durableId="1760905493">
    <w:abstractNumId w:val="8"/>
  </w:num>
  <w:num w:numId="2" w16cid:durableId="574364167">
    <w:abstractNumId w:val="0"/>
  </w:num>
  <w:num w:numId="3" w16cid:durableId="1316689282">
    <w:abstractNumId w:val="7"/>
  </w:num>
  <w:num w:numId="4" w16cid:durableId="1051155429">
    <w:abstractNumId w:val="9"/>
  </w:num>
  <w:num w:numId="5" w16cid:durableId="863716588">
    <w:abstractNumId w:val="4"/>
  </w:num>
  <w:num w:numId="6" w16cid:durableId="316494693">
    <w:abstractNumId w:val="1"/>
  </w:num>
  <w:num w:numId="7" w16cid:durableId="1461613316">
    <w:abstractNumId w:val="3"/>
  </w:num>
  <w:num w:numId="8" w16cid:durableId="407650379">
    <w:abstractNumId w:val="5"/>
  </w:num>
  <w:num w:numId="9" w16cid:durableId="715280041">
    <w:abstractNumId w:val="6"/>
  </w:num>
  <w:num w:numId="10" w16cid:durableId="66266023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aveSubsetFonts/>
  <w:proofState w:spelling="clean" w:grammar="clean"/>
  <w:attachedTemplate r:id="rId1"/>
  <w:doNotTrackFormatting/>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48"/>
    <w:rsid w:val="00000D89"/>
    <w:rsid w:val="00001559"/>
    <w:rsid w:val="000021C9"/>
    <w:rsid w:val="00003F91"/>
    <w:rsid w:val="00004BA7"/>
    <w:rsid w:val="00004E0F"/>
    <w:rsid w:val="000050DA"/>
    <w:rsid w:val="000059CE"/>
    <w:rsid w:val="00005FCD"/>
    <w:rsid w:val="0000609A"/>
    <w:rsid w:val="000077AC"/>
    <w:rsid w:val="00010F5A"/>
    <w:rsid w:val="00011394"/>
    <w:rsid w:val="00011EF6"/>
    <w:rsid w:val="00012A54"/>
    <w:rsid w:val="00013439"/>
    <w:rsid w:val="000142DE"/>
    <w:rsid w:val="00014DC8"/>
    <w:rsid w:val="00014E9D"/>
    <w:rsid w:val="000165E3"/>
    <w:rsid w:val="000166EF"/>
    <w:rsid w:val="00017894"/>
    <w:rsid w:val="00017EF4"/>
    <w:rsid w:val="0002030E"/>
    <w:rsid w:val="000203B1"/>
    <w:rsid w:val="00020D5B"/>
    <w:rsid w:val="00020F68"/>
    <w:rsid w:val="00021130"/>
    <w:rsid w:val="00021C18"/>
    <w:rsid w:val="00021DFF"/>
    <w:rsid w:val="00023617"/>
    <w:rsid w:val="0002391A"/>
    <w:rsid w:val="000247E9"/>
    <w:rsid w:val="00024ED0"/>
    <w:rsid w:val="00025377"/>
    <w:rsid w:val="00025E50"/>
    <w:rsid w:val="00026FB8"/>
    <w:rsid w:val="00027094"/>
    <w:rsid w:val="0002720F"/>
    <w:rsid w:val="00027946"/>
    <w:rsid w:val="00027BB4"/>
    <w:rsid w:val="00030729"/>
    <w:rsid w:val="000314A8"/>
    <w:rsid w:val="00032F49"/>
    <w:rsid w:val="000333F5"/>
    <w:rsid w:val="00034231"/>
    <w:rsid w:val="00034D48"/>
    <w:rsid w:val="00036886"/>
    <w:rsid w:val="000368CD"/>
    <w:rsid w:val="00036EF9"/>
    <w:rsid w:val="00036FDC"/>
    <w:rsid w:val="0003740B"/>
    <w:rsid w:val="0003765C"/>
    <w:rsid w:val="0004087C"/>
    <w:rsid w:val="000409D7"/>
    <w:rsid w:val="0004193B"/>
    <w:rsid w:val="00041A2C"/>
    <w:rsid w:val="0004207D"/>
    <w:rsid w:val="00042E09"/>
    <w:rsid w:val="000430F8"/>
    <w:rsid w:val="0004336F"/>
    <w:rsid w:val="00043D5E"/>
    <w:rsid w:val="00044F61"/>
    <w:rsid w:val="00045B33"/>
    <w:rsid w:val="000514FB"/>
    <w:rsid w:val="0005266F"/>
    <w:rsid w:val="000541B0"/>
    <w:rsid w:val="00055BDB"/>
    <w:rsid w:val="00055CFB"/>
    <w:rsid w:val="00056020"/>
    <w:rsid w:val="000603BF"/>
    <w:rsid w:val="000603D9"/>
    <w:rsid w:val="00060B2C"/>
    <w:rsid w:val="000613D3"/>
    <w:rsid w:val="00061D3E"/>
    <w:rsid w:val="000623D1"/>
    <w:rsid w:val="000624A3"/>
    <w:rsid w:val="00063980"/>
    <w:rsid w:val="00064A9E"/>
    <w:rsid w:val="0006553F"/>
    <w:rsid w:val="00066698"/>
    <w:rsid w:val="00070F82"/>
    <w:rsid w:val="00071285"/>
    <w:rsid w:val="000715E2"/>
    <w:rsid w:val="0007247B"/>
    <w:rsid w:val="00072E27"/>
    <w:rsid w:val="00072FBA"/>
    <w:rsid w:val="000731C7"/>
    <w:rsid w:val="0007328E"/>
    <w:rsid w:val="000735F9"/>
    <w:rsid w:val="000763A8"/>
    <w:rsid w:val="000768D0"/>
    <w:rsid w:val="000770EA"/>
    <w:rsid w:val="000773FE"/>
    <w:rsid w:val="00077FB7"/>
    <w:rsid w:val="00081168"/>
    <w:rsid w:val="000825BB"/>
    <w:rsid w:val="00082BB6"/>
    <w:rsid w:val="00082E83"/>
    <w:rsid w:val="00082FAB"/>
    <w:rsid w:val="00084669"/>
    <w:rsid w:val="000847FD"/>
    <w:rsid w:val="000857FF"/>
    <w:rsid w:val="00085BFC"/>
    <w:rsid w:val="0008615D"/>
    <w:rsid w:val="00086A78"/>
    <w:rsid w:val="000902A9"/>
    <w:rsid w:val="00090A75"/>
    <w:rsid w:val="000913EE"/>
    <w:rsid w:val="0009202C"/>
    <w:rsid w:val="000933D1"/>
    <w:rsid w:val="0009480D"/>
    <w:rsid w:val="00094843"/>
    <w:rsid w:val="000972F7"/>
    <w:rsid w:val="000973BD"/>
    <w:rsid w:val="00097689"/>
    <w:rsid w:val="000976AD"/>
    <w:rsid w:val="000A0046"/>
    <w:rsid w:val="000A02F5"/>
    <w:rsid w:val="000A0A58"/>
    <w:rsid w:val="000A0A5A"/>
    <w:rsid w:val="000A2730"/>
    <w:rsid w:val="000A2C74"/>
    <w:rsid w:val="000A45B6"/>
    <w:rsid w:val="000A50D5"/>
    <w:rsid w:val="000A65F3"/>
    <w:rsid w:val="000A68B0"/>
    <w:rsid w:val="000A6DE7"/>
    <w:rsid w:val="000A7A7A"/>
    <w:rsid w:val="000A7AFA"/>
    <w:rsid w:val="000A7B6F"/>
    <w:rsid w:val="000B0515"/>
    <w:rsid w:val="000B065C"/>
    <w:rsid w:val="000B299C"/>
    <w:rsid w:val="000B3708"/>
    <w:rsid w:val="000B42C3"/>
    <w:rsid w:val="000B4F80"/>
    <w:rsid w:val="000B663A"/>
    <w:rsid w:val="000B716D"/>
    <w:rsid w:val="000B7A49"/>
    <w:rsid w:val="000B7FF3"/>
    <w:rsid w:val="000C104B"/>
    <w:rsid w:val="000C1074"/>
    <w:rsid w:val="000C143A"/>
    <w:rsid w:val="000C17D3"/>
    <w:rsid w:val="000C1B48"/>
    <w:rsid w:val="000C1F1F"/>
    <w:rsid w:val="000C22D3"/>
    <w:rsid w:val="000C23B8"/>
    <w:rsid w:val="000C3B39"/>
    <w:rsid w:val="000C40C4"/>
    <w:rsid w:val="000C5294"/>
    <w:rsid w:val="000C5744"/>
    <w:rsid w:val="000C5BF2"/>
    <w:rsid w:val="000C5E38"/>
    <w:rsid w:val="000D2018"/>
    <w:rsid w:val="000D2E17"/>
    <w:rsid w:val="000D462A"/>
    <w:rsid w:val="000D484D"/>
    <w:rsid w:val="000D4862"/>
    <w:rsid w:val="000D4B84"/>
    <w:rsid w:val="000D53F2"/>
    <w:rsid w:val="000D5A6E"/>
    <w:rsid w:val="000D5BB4"/>
    <w:rsid w:val="000D719B"/>
    <w:rsid w:val="000D7F3B"/>
    <w:rsid w:val="000E1966"/>
    <w:rsid w:val="000E2798"/>
    <w:rsid w:val="000E2EC6"/>
    <w:rsid w:val="000E2FE0"/>
    <w:rsid w:val="000E325C"/>
    <w:rsid w:val="000E34EA"/>
    <w:rsid w:val="000E3C35"/>
    <w:rsid w:val="000E3C47"/>
    <w:rsid w:val="000E492B"/>
    <w:rsid w:val="000E4DF4"/>
    <w:rsid w:val="000E7F17"/>
    <w:rsid w:val="000F051D"/>
    <w:rsid w:val="000F0D9A"/>
    <w:rsid w:val="000F2058"/>
    <w:rsid w:val="000F3284"/>
    <w:rsid w:val="000F32B1"/>
    <w:rsid w:val="000F5A19"/>
    <w:rsid w:val="000F6450"/>
    <w:rsid w:val="000F645A"/>
    <w:rsid w:val="000F65AE"/>
    <w:rsid w:val="000F660A"/>
    <w:rsid w:val="0010012E"/>
    <w:rsid w:val="00100D9D"/>
    <w:rsid w:val="00100E24"/>
    <w:rsid w:val="00101122"/>
    <w:rsid w:val="00101B0D"/>
    <w:rsid w:val="00101B60"/>
    <w:rsid w:val="00102728"/>
    <w:rsid w:val="00103374"/>
    <w:rsid w:val="001035A3"/>
    <w:rsid w:val="001036B4"/>
    <w:rsid w:val="00103754"/>
    <w:rsid w:val="0010393A"/>
    <w:rsid w:val="00104563"/>
    <w:rsid w:val="00104895"/>
    <w:rsid w:val="00104A0F"/>
    <w:rsid w:val="00104B37"/>
    <w:rsid w:val="00105304"/>
    <w:rsid w:val="001055E0"/>
    <w:rsid w:val="001077FB"/>
    <w:rsid w:val="00107BAD"/>
    <w:rsid w:val="00107BE7"/>
    <w:rsid w:val="00110621"/>
    <w:rsid w:val="0011104F"/>
    <w:rsid w:val="00111A4E"/>
    <w:rsid w:val="00111C73"/>
    <w:rsid w:val="00113063"/>
    <w:rsid w:val="00114761"/>
    <w:rsid w:val="00114826"/>
    <w:rsid w:val="00114C2E"/>
    <w:rsid w:val="00115D9D"/>
    <w:rsid w:val="00115FB1"/>
    <w:rsid w:val="0011614C"/>
    <w:rsid w:val="00116310"/>
    <w:rsid w:val="00120C1D"/>
    <w:rsid w:val="00120E2D"/>
    <w:rsid w:val="001221BA"/>
    <w:rsid w:val="001223A9"/>
    <w:rsid w:val="00122D3B"/>
    <w:rsid w:val="00122E87"/>
    <w:rsid w:val="0012308E"/>
    <w:rsid w:val="00123239"/>
    <w:rsid w:val="00123B4F"/>
    <w:rsid w:val="00123FE7"/>
    <w:rsid w:val="001240A8"/>
    <w:rsid w:val="00124685"/>
    <w:rsid w:val="00124F01"/>
    <w:rsid w:val="00125390"/>
    <w:rsid w:val="0012599E"/>
    <w:rsid w:val="0012609C"/>
    <w:rsid w:val="00127089"/>
    <w:rsid w:val="0012721E"/>
    <w:rsid w:val="00127503"/>
    <w:rsid w:val="001305B9"/>
    <w:rsid w:val="0013186C"/>
    <w:rsid w:val="00131B63"/>
    <w:rsid w:val="00131ED1"/>
    <w:rsid w:val="00132564"/>
    <w:rsid w:val="001329F7"/>
    <w:rsid w:val="00132AD8"/>
    <w:rsid w:val="00133006"/>
    <w:rsid w:val="00133FF5"/>
    <w:rsid w:val="0013414F"/>
    <w:rsid w:val="001348B1"/>
    <w:rsid w:val="001351CA"/>
    <w:rsid w:val="001363DE"/>
    <w:rsid w:val="00136CBC"/>
    <w:rsid w:val="00137551"/>
    <w:rsid w:val="00137D74"/>
    <w:rsid w:val="00137EB5"/>
    <w:rsid w:val="00137FD6"/>
    <w:rsid w:val="0014005B"/>
    <w:rsid w:val="00141E6D"/>
    <w:rsid w:val="00141EE5"/>
    <w:rsid w:val="00142879"/>
    <w:rsid w:val="0014323F"/>
    <w:rsid w:val="00145239"/>
    <w:rsid w:val="00145ED0"/>
    <w:rsid w:val="00146518"/>
    <w:rsid w:val="0014697D"/>
    <w:rsid w:val="00146E44"/>
    <w:rsid w:val="0014787A"/>
    <w:rsid w:val="00147A42"/>
    <w:rsid w:val="00147AD0"/>
    <w:rsid w:val="00147D07"/>
    <w:rsid w:val="00147F49"/>
    <w:rsid w:val="00150F3E"/>
    <w:rsid w:val="00152476"/>
    <w:rsid w:val="00152A31"/>
    <w:rsid w:val="00152D0D"/>
    <w:rsid w:val="001533A6"/>
    <w:rsid w:val="0015387E"/>
    <w:rsid w:val="0015388D"/>
    <w:rsid w:val="00154B39"/>
    <w:rsid w:val="00155CDD"/>
    <w:rsid w:val="00155F00"/>
    <w:rsid w:val="00156359"/>
    <w:rsid w:val="0015795A"/>
    <w:rsid w:val="00157B50"/>
    <w:rsid w:val="001607A2"/>
    <w:rsid w:val="00160B01"/>
    <w:rsid w:val="0016235C"/>
    <w:rsid w:val="00162590"/>
    <w:rsid w:val="00162FEF"/>
    <w:rsid w:val="00163D71"/>
    <w:rsid w:val="001643CF"/>
    <w:rsid w:val="0016450C"/>
    <w:rsid w:val="001648C2"/>
    <w:rsid w:val="00164CFC"/>
    <w:rsid w:val="00166B52"/>
    <w:rsid w:val="00170F18"/>
    <w:rsid w:val="00174630"/>
    <w:rsid w:val="00174DC4"/>
    <w:rsid w:val="001758BC"/>
    <w:rsid w:val="00175B3D"/>
    <w:rsid w:val="001765AF"/>
    <w:rsid w:val="001800FD"/>
    <w:rsid w:val="00180204"/>
    <w:rsid w:val="00180DBD"/>
    <w:rsid w:val="0018164C"/>
    <w:rsid w:val="00181EBC"/>
    <w:rsid w:val="00183549"/>
    <w:rsid w:val="00183591"/>
    <w:rsid w:val="00183990"/>
    <w:rsid w:val="0018411C"/>
    <w:rsid w:val="00185330"/>
    <w:rsid w:val="00185D23"/>
    <w:rsid w:val="001861D4"/>
    <w:rsid w:val="00186DD0"/>
    <w:rsid w:val="00186FC4"/>
    <w:rsid w:val="001872F1"/>
    <w:rsid w:val="00187BF8"/>
    <w:rsid w:val="00190562"/>
    <w:rsid w:val="0019074B"/>
    <w:rsid w:val="001908C7"/>
    <w:rsid w:val="00190AE5"/>
    <w:rsid w:val="001915F4"/>
    <w:rsid w:val="00191BAC"/>
    <w:rsid w:val="00191E0D"/>
    <w:rsid w:val="00192161"/>
    <w:rsid w:val="00192D44"/>
    <w:rsid w:val="00193645"/>
    <w:rsid w:val="001938A7"/>
    <w:rsid w:val="00195BE0"/>
    <w:rsid w:val="0019682D"/>
    <w:rsid w:val="00197223"/>
    <w:rsid w:val="001A1887"/>
    <w:rsid w:val="001A1B93"/>
    <w:rsid w:val="001A20FC"/>
    <w:rsid w:val="001A2537"/>
    <w:rsid w:val="001A3507"/>
    <w:rsid w:val="001A4D47"/>
    <w:rsid w:val="001A4FD4"/>
    <w:rsid w:val="001A51DE"/>
    <w:rsid w:val="001A65FE"/>
    <w:rsid w:val="001A6B03"/>
    <w:rsid w:val="001B0A4F"/>
    <w:rsid w:val="001B2118"/>
    <w:rsid w:val="001B27FE"/>
    <w:rsid w:val="001B2C01"/>
    <w:rsid w:val="001B35CE"/>
    <w:rsid w:val="001B37E5"/>
    <w:rsid w:val="001B397B"/>
    <w:rsid w:val="001B6207"/>
    <w:rsid w:val="001B625F"/>
    <w:rsid w:val="001B6CED"/>
    <w:rsid w:val="001B6FFE"/>
    <w:rsid w:val="001B78EB"/>
    <w:rsid w:val="001C0013"/>
    <w:rsid w:val="001C01EE"/>
    <w:rsid w:val="001C052D"/>
    <w:rsid w:val="001C399A"/>
    <w:rsid w:val="001C3E59"/>
    <w:rsid w:val="001C538E"/>
    <w:rsid w:val="001C5AD6"/>
    <w:rsid w:val="001C5F9D"/>
    <w:rsid w:val="001C6026"/>
    <w:rsid w:val="001C62D8"/>
    <w:rsid w:val="001C6701"/>
    <w:rsid w:val="001C6C19"/>
    <w:rsid w:val="001C6FEA"/>
    <w:rsid w:val="001C7668"/>
    <w:rsid w:val="001C7D25"/>
    <w:rsid w:val="001D03D5"/>
    <w:rsid w:val="001D09AC"/>
    <w:rsid w:val="001D0CF9"/>
    <w:rsid w:val="001D1D28"/>
    <w:rsid w:val="001D246B"/>
    <w:rsid w:val="001D3056"/>
    <w:rsid w:val="001D3813"/>
    <w:rsid w:val="001D3A66"/>
    <w:rsid w:val="001D41BF"/>
    <w:rsid w:val="001D5958"/>
    <w:rsid w:val="001D6865"/>
    <w:rsid w:val="001D79F9"/>
    <w:rsid w:val="001D7BBE"/>
    <w:rsid w:val="001E01B8"/>
    <w:rsid w:val="001E1B60"/>
    <w:rsid w:val="001E1D06"/>
    <w:rsid w:val="001E2964"/>
    <w:rsid w:val="001E2BA2"/>
    <w:rsid w:val="001E4403"/>
    <w:rsid w:val="001E4B3E"/>
    <w:rsid w:val="001E4C57"/>
    <w:rsid w:val="001E591A"/>
    <w:rsid w:val="001E610A"/>
    <w:rsid w:val="001E698A"/>
    <w:rsid w:val="001E7070"/>
    <w:rsid w:val="001E70BC"/>
    <w:rsid w:val="001E730F"/>
    <w:rsid w:val="001E7596"/>
    <w:rsid w:val="001E7606"/>
    <w:rsid w:val="001F016C"/>
    <w:rsid w:val="001F3751"/>
    <w:rsid w:val="001F3782"/>
    <w:rsid w:val="001F4332"/>
    <w:rsid w:val="001F45F5"/>
    <w:rsid w:val="001F532E"/>
    <w:rsid w:val="001F5949"/>
    <w:rsid w:val="001F7BAA"/>
    <w:rsid w:val="00200158"/>
    <w:rsid w:val="00200474"/>
    <w:rsid w:val="00200C75"/>
    <w:rsid w:val="00201279"/>
    <w:rsid w:val="00201956"/>
    <w:rsid w:val="00202161"/>
    <w:rsid w:val="00203563"/>
    <w:rsid w:val="00203D8B"/>
    <w:rsid w:val="002046FA"/>
    <w:rsid w:val="00204A77"/>
    <w:rsid w:val="00204E38"/>
    <w:rsid w:val="002067A2"/>
    <w:rsid w:val="00210118"/>
    <w:rsid w:val="00210942"/>
    <w:rsid w:val="00210A99"/>
    <w:rsid w:val="0021107F"/>
    <w:rsid w:val="00211E1B"/>
    <w:rsid w:val="002122C4"/>
    <w:rsid w:val="0021266E"/>
    <w:rsid w:val="0021295B"/>
    <w:rsid w:val="00213FF5"/>
    <w:rsid w:val="00214805"/>
    <w:rsid w:val="00214BC7"/>
    <w:rsid w:val="00214DAA"/>
    <w:rsid w:val="00214DFE"/>
    <w:rsid w:val="00215672"/>
    <w:rsid w:val="002167AA"/>
    <w:rsid w:val="00217B08"/>
    <w:rsid w:val="00217CF2"/>
    <w:rsid w:val="00221B2D"/>
    <w:rsid w:val="00221CD6"/>
    <w:rsid w:val="00222959"/>
    <w:rsid w:val="00222A73"/>
    <w:rsid w:val="002233BC"/>
    <w:rsid w:val="00223B69"/>
    <w:rsid w:val="0022446D"/>
    <w:rsid w:val="00224ABB"/>
    <w:rsid w:val="0022507F"/>
    <w:rsid w:val="00225A44"/>
    <w:rsid w:val="00225C61"/>
    <w:rsid w:val="00225D89"/>
    <w:rsid w:val="00226FD0"/>
    <w:rsid w:val="00227362"/>
    <w:rsid w:val="00227F7B"/>
    <w:rsid w:val="002302BB"/>
    <w:rsid w:val="00230F2A"/>
    <w:rsid w:val="00231F81"/>
    <w:rsid w:val="0023246A"/>
    <w:rsid w:val="00232E39"/>
    <w:rsid w:val="0023316A"/>
    <w:rsid w:val="002333F2"/>
    <w:rsid w:val="00233532"/>
    <w:rsid w:val="00233777"/>
    <w:rsid w:val="00233AB6"/>
    <w:rsid w:val="002345BC"/>
    <w:rsid w:val="0023579D"/>
    <w:rsid w:val="00235B75"/>
    <w:rsid w:val="00235C04"/>
    <w:rsid w:val="00236131"/>
    <w:rsid w:val="002364E2"/>
    <w:rsid w:val="0023652C"/>
    <w:rsid w:val="00241C5D"/>
    <w:rsid w:val="0024444F"/>
    <w:rsid w:val="00245029"/>
    <w:rsid w:val="002457EF"/>
    <w:rsid w:val="002503D9"/>
    <w:rsid w:val="002512AF"/>
    <w:rsid w:val="0025287A"/>
    <w:rsid w:val="00252FB1"/>
    <w:rsid w:val="0025341A"/>
    <w:rsid w:val="00254E28"/>
    <w:rsid w:val="0025568D"/>
    <w:rsid w:val="00256351"/>
    <w:rsid w:val="00256F9E"/>
    <w:rsid w:val="002579AC"/>
    <w:rsid w:val="0026003F"/>
    <w:rsid w:val="002604C8"/>
    <w:rsid w:val="002607CB"/>
    <w:rsid w:val="00260E4B"/>
    <w:rsid w:val="00261512"/>
    <w:rsid w:val="002661D4"/>
    <w:rsid w:val="0026687B"/>
    <w:rsid w:val="002669E5"/>
    <w:rsid w:val="00266C07"/>
    <w:rsid w:val="00266EDB"/>
    <w:rsid w:val="00267969"/>
    <w:rsid w:val="00271299"/>
    <w:rsid w:val="0027135D"/>
    <w:rsid w:val="00271EF1"/>
    <w:rsid w:val="00271FDB"/>
    <w:rsid w:val="00271FF2"/>
    <w:rsid w:val="0027210C"/>
    <w:rsid w:val="00272182"/>
    <w:rsid w:val="00272257"/>
    <w:rsid w:val="00273580"/>
    <w:rsid w:val="002736DD"/>
    <w:rsid w:val="00275B74"/>
    <w:rsid w:val="0027617F"/>
    <w:rsid w:val="0027778D"/>
    <w:rsid w:val="00277DA1"/>
    <w:rsid w:val="0028005C"/>
    <w:rsid w:val="00280096"/>
    <w:rsid w:val="00280F53"/>
    <w:rsid w:val="00281014"/>
    <w:rsid w:val="00281068"/>
    <w:rsid w:val="00281F64"/>
    <w:rsid w:val="002831F0"/>
    <w:rsid w:val="00283254"/>
    <w:rsid w:val="00283791"/>
    <w:rsid w:val="00284677"/>
    <w:rsid w:val="00284695"/>
    <w:rsid w:val="0028619C"/>
    <w:rsid w:val="002862AD"/>
    <w:rsid w:val="002875DF"/>
    <w:rsid w:val="0029006E"/>
    <w:rsid w:val="00290D99"/>
    <w:rsid w:val="00291925"/>
    <w:rsid w:val="00293EDD"/>
    <w:rsid w:val="002945E7"/>
    <w:rsid w:val="00294DFC"/>
    <w:rsid w:val="00295595"/>
    <w:rsid w:val="00296270"/>
    <w:rsid w:val="0029705E"/>
    <w:rsid w:val="00297878"/>
    <w:rsid w:val="002A0180"/>
    <w:rsid w:val="002A1613"/>
    <w:rsid w:val="002A18F2"/>
    <w:rsid w:val="002A1E28"/>
    <w:rsid w:val="002A20F1"/>
    <w:rsid w:val="002A380D"/>
    <w:rsid w:val="002A3CD4"/>
    <w:rsid w:val="002A48A0"/>
    <w:rsid w:val="002A4CA6"/>
    <w:rsid w:val="002A4E2A"/>
    <w:rsid w:val="002A5370"/>
    <w:rsid w:val="002A5B0B"/>
    <w:rsid w:val="002A6E62"/>
    <w:rsid w:val="002A7D83"/>
    <w:rsid w:val="002B046E"/>
    <w:rsid w:val="002B19D1"/>
    <w:rsid w:val="002B28F8"/>
    <w:rsid w:val="002B3228"/>
    <w:rsid w:val="002B4F34"/>
    <w:rsid w:val="002B539C"/>
    <w:rsid w:val="002B571F"/>
    <w:rsid w:val="002B57D1"/>
    <w:rsid w:val="002B6439"/>
    <w:rsid w:val="002B64A8"/>
    <w:rsid w:val="002B767C"/>
    <w:rsid w:val="002B7987"/>
    <w:rsid w:val="002C05ED"/>
    <w:rsid w:val="002C0879"/>
    <w:rsid w:val="002C10BF"/>
    <w:rsid w:val="002C17C0"/>
    <w:rsid w:val="002C1BD3"/>
    <w:rsid w:val="002C1E33"/>
    <w:rsid w:val="002C253E"/>
    <w:rsid w:val="002C2FD3"/>
    <w:rsid w:val="002C35FE"/>
    <w:rsid w:val="002C3ABB"/>
    <w:rsid w:val="002C3E33"/>
    <w:rsid w:val="002C3FEA"/>
    <w:rsid w:val="002C405E"/>
    <w:rsid w:val="002C48B0"/>
    <w:rsid w:val="002C4A49"/>
    <w:rsid w:val="002C57CA"/>
    <w:rsid w:val="002C7254"/>
    <w:rsid w:val="002D1446"/>
    <w:rsid w:val="002D1B7A"/>
    <w:rsid w:val="002D1CAF"/>
    <w:rsid w:val="002D263E"/>
    <w:rsid w:val="002D2A31"/>
    <w:rsid w:val="002D2BF8"/>
    <w:rsid w:val="002D3014"/>
    <w:rsid w:val="002D3123"/>
    <w:rsid w:val="002D33F1"/>
    <w:rsid w:val="002D3B1B"/>
    <w:rsid w:val="002D4564"/>
    <w:rsid w:val="002D461A"/>
    <w:rsid w:val="002D4AFD"/>
    <w:rsid w:val="002D4C5E"/>
    <w:rsid w:val="002D5328"/>
    <w:rsid w:val="002D5E3C"/>
    <w:rsid w:val="002D6309"/>
    <w:rsid w:val="002D6E59"/>
    <w:rsid w:val="002E0B23"/>
    <w:rsid w:val="002E0CFF"/>
    <w:rsid w:val="002E1CB3"/>
    <w:rsid w:val="002E1E5A"/>
    <w:rsid w:val="002E2046"/>
    <w:rsid w:val="002E2CAB"/>
    <w:rsid w:val="002E3019"/>
    <w:rsid w:val="002E3829"/>
    <w:rsid w:val="002E3C6F"/>
    <w:rsid w:val="002E702C"/>
    <w:rsid w:val="002F0C2F"/>
    <w:rsid w:val="002F1209"/>
    <w:rsid w:val="002F1CCB"/>
    <w:rsid w:val="002F306A"/>
    <w:rsid w:val="002F4074"/>
    <w:rsid w:val="002F5265"/>
    <w:rsid w:val="002F578C"/>
    <w:rsid w:val="002F5874"/>
    <w:rsid w:val="002F608E"/>
    <w:rsid w:val="002F646B"/>
    <w:rsid w:val="002F6A53"/>
    <w:rsid w:val="002F75B2"/>
    <w:rsid w:val="00300C3F"/>
    <w:rsid w:val="00302334"/>
    <w:rsid w:val="003039ED"/>
    <w:rsid w:val="00303A8E"/>
    <w:rsid w:val="00304273"/>
    <w:rsid w:val="00304498"/>
    <w:rsid w:val="00304B26"/>
    <w:rsid w:val="00304C57"/>
    <w:rsid w:val="0030544D"/>
    <w:rsid w:val="00305861"/>
    <w:rsid w:val="003060DA"/>
    <w:rsid w:val="00306593"/>
    <w:rsid w:val="0030683B"/>
    <w:rsid w:val="00306D82"/>
    <w:rsid w:val="00310C99"/>
    <w:rsid w:val="00310D9B"/>
    <w:rsid w:val="0031103F"/>
    <w:rsid w:val="00311472"/>
    <w:rsid w:val="00311712"/>
    <w:rsid w:val="00311A6E"/>
    <w:rsid w:val="00311CD9"/>
    <w:rsid w:val="00312379"/>
    <w:rsid w:val="00312B46"/>
    <w:rsid w:val="00312E5E"/>
    <w:rsid w:val="0031366D"/>
    <w:rsid w:val="00314736"/>
    <w:rsid w:val="003166AD"/>
    <w:rsid w:val="00316A0C"/>
    <w:rsid w:val="0032140C"/>
    <w:rsid w:val="00321D44"/>
    <w:rsid w:val="00321E12"/>
    <w:rsid w:val="003229B9"/>
    <w:rsid w:val="00322EE2"/>
    <w:rsid w:val="003230F2"/>
    <w:rsid w:val="00323665"/>
    <w:rsid w:val="003245EE"/>
    <w:rsid w:val="00324671"/>
    <w:rsid w:val="00324787"/>
    <w:rsid w:val="0032484B"/>
    <w:rsid w:val="003252EA"/>
    <w:rsid w:val="003256EB"/>
    <w:rsid w:val="0032625F"/>
    <w:rsid w:val="00326D51"/>
    <w:rsid w:val="003270E7"/>
    <w:rsid w:val="00327289"/>
    <w:rsid w:val="003273B6"/>
    <w:rsid w:val="00327AFF"/>
    <w:rsid w:val="00330522"/>
    <w:rsid w:val="00330979"/>
    <w:rsid w:val="00330D4A"/>
    <w:rsid w:val="00330EE7"/>
    <w:rsid w:val="003311C5"/>
    <w:rsid w:val="00331344"/>
    <w:rsid w:val="00331A56"/>
    <w:rsid w:val="00331EEB"/>
    <w:rsid w:val="00332AFD"/>
    <w:rsid w:val="00332C5E"/>
    <w:rsid w:val="00334B90"/>
    <w:rsid w:val="00335B4A"/>
    <w:rsid w:val="00335D5C"/>
    <w:rsid w:val="003362C9"/>
    <w:rsid w:val="00340AE7"/>
    <w:rsid w:val="00340BC3"/>
    <w:rsid w:val="0034179C"/>
    <w:rsid w:val="00341D69"/>
    <w:rsid w:val="00342729"/>
    <w:rsid w:val="003430A0"/>
    <w:rsid w:val="00343551"/>
    <w:rsid w:val="00343DA2"/>
    <w:rsid w:val="00343E44"/>
    <w:rsid w:val="00344E13"/>
    <w:rsid w:val="00345813"/>
    <w:rsid w:val="0034728B"/>
    <w:rsid w:val="00347DC6"/>
    <w:rsid w:val="003504AE"/>
    <w:rsid w:val="00350908"/>
    <w:rsid w:val="003514DD"/>
    <w:rsid w:val="003514EB"/>
    <w:rsid w:val="00352018"/>
    <w:rsid w:val="00352ADA"/>
    <w:rsid w:val="00352ED1"/>
    <w:rsid w:val="00353031"/>
    <w:rsid w:val="0035306B"/>
    <w:rsid w:val="00353CF0"/>
    <w:rsid w:val="0035462E"/>
    <w:rsid w:val="0035554D"/>
    <w:rsid w:val="003559E7"/>
    <w:rsid w:val="00356123"/>
    <w:rsid w:val="003569F1"/>
    <w:rsid w:val="00356B32"/>
    <w:rsid w:val="00356CA8"/>
    <w:rsid w:val="003570DA"/>
    <w:rsid w:val="003573D6"/>
    <w:rsid w:val="003578EC"/>
    <w:rsid w:val="003603D6"/>
    <w:rsid w:val="003605C6"/>
    <w:rsid w:val="0036062C"/>
    <w:rsid w:val="00360D2A"/>
    <w:rsid w:val="00361F92"/>
    <w:rsid w:val="003627BA"/>
    <w:rsid w:val="00362870"/>
    <w:rsid w:val="00363614"/>
    <w:rsid w:val="00363D71"/>
    <w:rsid w:val="00363F6B"/>
    <w:rsid w:val="00364985"/>
    <w:rsid w:val="00364E62"/>
    <w:rsid w:val="00365306"/>
    <w:rsid w:val="003659BC"/>
    <w:rsid w:val="00365CA8"/>
    <w:rsid w:val="0036621C"/>
    <w:rsid w:val="0036650D"/>
    <w:rsid w:val="00366B56"/>
    <w:rsid w:val="003672B2"/>
    <w:rsid w:val="00367367"/>
    <w:rsid w:val="00367796"/>
    <w:rsid w:val="00367A82"/>
    <w:rsid w:val="00370471"/>
    <w:rsid w:val="00371648"/>
    <w:rsid w:val="003717A9"/>
    <w:rsid w:val="003723B6"/>
    <w:rsid w:val="0037285C"/>
    <w:rsid w:val="0037338C"/>
    <w:rsid w:val="00373645"/>
    <w:rsid w:val="00373D13"/>
    <w:rsid w:val="003740CA"/>
    <w:rsid w:val="00374D01"/>
    <w:rsid w:val="00375147"/>
    <w:rsid w:val="00375199"/>
    <w:rsid w:val="00375AEB"/>
    <w:rsid w:val="00375C23"/>
    <w:rsid w:val="003761D3"/>
    <w:rsid w:val="003767F3"/>
    <w:rsid w:val="00376815"/>
    <w:rsid w:val="00376D47"/>
    <w:rsid w:val="00376D7C"/>
    <w:rsid w:val="00376DE7"/>
    <w:rsid w:val="00377329"/>
    <w:rsid w:val="00380487"/>
    <w:rsid w:val="003817D1"/>
    <w:rsid w:val="0038184E"/>
    <w:rsid w:val="00383308"/>
    <w:rsid w:val="00384223"/>
    <w:rsid w:val="00384706"/>
    <w:rsid w:val="00384BC4"/>
    <w:rsid w:val="00384E42"/>
    <w:rsid w:val="00385EC4"/>
    <w:rsid w:val="00385F09"/>
    <w:rsid w:val="00386391"/>
    <w:rsid w:val="00387A1B"/>
    <w:rsid w:val="00392410"/>
    <w:rsid w:val="00393555"/>
    <w:rsid w:val="003935F0"/>
    <w:rsid w:val="003938B5"/>
    <w:rsid w:val="003940D3"/>
    <w:rsid w:val="00394553"/>
    <w:rsid w:val="00394C7D"/>
    <w:rsid w:val="0039596B"/>
    <w:rsid w:val="00396ABB"/>
    <w:rsid w:val="003971D6"/>
    <w:rsid w:val="00397363"/>
    <w:rsid w:val="00397FB5"/>
    <w:rsid w:val="003A1307"/>
    <w:rsid w:val="003A1875"/>
    <w:rsid w:val="003A292C"/>
    <w:rsid w:val="003A2CC0"/>
    <w:rsid w:val="003A2D0C"/>
    <w:rsid w:val="003A38C9"/>
    <w:rsid w:val="003A4FDE"/>
    <w:rsid w:val="003A5107"/>
    <w:rsid w:val="003A6981"/>
    <w:rsid w:val="003A6D59"/>
    <w:rsid w:val="003A7563"/>
    <w:rsid w:val="003A76D4"/>
    <w:rsid w:val="003B0C97"/>
    <w:rsid w:val="003B0D80"/>
    <w:rsid w:val="003B0E56"/>
    <w:rsid w:val="003B0F8B"/>
    <w:rsid w:val="003B163E"/>
    <w:rsid w:val="003B1EAF"/>
    <w:rsid w:val="003B25E3"/>
    <w:rsid w:val="003B2FAF"/>
    <w:rsid w:val="003B3012"/>
    <w:rsid w:val="003B3375"/>
    <w:rsid w:val="003B36EA"/>
    <w:rsid w:val="003B385F"/>
    <w:rsid w:val="003B3F20"/>
    <w:rsid w:val="003B5406"/>
    <w:rsid w:val="003B5D67"/>
    <w:rsid w:val="003B6848"/>
    <w:rsid w:val="003B7149"/>
    <w:rsid w:val="003B718D"/>
    <w:rsid w:val="003B71F3"/>
    <w:rsid w:val="003B7376"/>
    <w:rsid w:val="003B74E8"/>
    <w:rsid w:val="003C0722"/>
    <w:rsid w:val="003C199A"/>
    <w:rsid w:val="003C272A"/>
    <w:rsid w:val="003C29BB"/>
    <w:rsid w:val="003C3EB4"/>
    <w:rsid w:val="003C42AE"/>
    <w:rsid w:val="003C5BA8"/>
    <w:rsid w:val="003C6ABC"/>
    <w:rsid w:val="003C7CC4"/>
    <w:rsid w:val="003D095B"/>
    <w:rsid w:val="003D0C70"/>
    <w:rsid w:val="003D166B"/>
    <w:rsid w:val="003D174F"/>
    <w:rsid w:val="003D187E"/>
    <w:rsid w:val="003D2483"/>
    <w:rsid w:val="003D29BB"/>
    <w:rsid w:val="003D3071"/>
    <w:rsid w:val="003D3C6C"/>
    <w:rsid w:val="003D3E98"/>
    <w:rsid w:val="003D432E"/>
    <w:rsid w:val="003D4CB5"/>
    <w:rsid w:val="003D4F0C"/>
    <w:rsid w:val="003D58DF"/>
    <w:rsid w:val="003D5B18"/>
    <w:rsid w:val="003D62FA"/>
    <w:rsid w:val="003D65F0"/>
    <w:rsid w:val="003D695E"/>
    <w:rsid w:val="003D767A"/>
    <w:rsid w:val="003E0046"/>
    <w:rsid w:val="003E01B5"/>
    <w:rsid w:val="003E03F0"/>
    <w:rsid w:val="003E044B"/>
    <w:rsid w:val="003E0601"/>
    <w:rsid w:val="003E20E1"/>
    <w:rsid w:val="003E21B3"/>
    <w:rsid w:val="003E30EB"/>
    <w:rsid w:val="003E3EFF"/>
    <w:rsid w:val="003E4377"/>
    <w:rsid w:val="003E47B5"/>
    <w:rsid w:val="003E4B74"/>
    <w:rsid w:val="003E5255"/>
    <w:rsid w:val="003E5E6E"/>
    <w:rsid w:val="003E67CA"/>
    <w:rsid w:val="003E6925"/>
    <w:rsid w:val="003E7CAC"/>
    <w:rsid w:val="003F0908"/>
    <w:rsid w:val="003F12B7"/>
    <w:rsid w:val="003F2E6F"/>
    <w:rsid w:val="003F2F6C"/>
    <w:rsid w:val="003F30AB"/>
    <w:rsid w:val="003F3365"/>
    <w:rsid w:val="003F38C5"/>
    <w:rsid w:val="003F3E3F"/>
    <w:rsid w:val="003F53E4"/>
    <w:rsid w:val="003F5540"/>
    <w:rsid w:val="003F560C"/>
    <w:rsid w:val="003F59A0"/>
    <w:rsid w:val="003F6054"/>
    <w:rsid w:val="003F68B4"/>
    <w:rsid w:val="003F762B"/>
    <w:rsid w:val="003F784C"/>
    <w:rsid w:val="003F7A3B"/>
    <w:rsid w:val="003F7F28"/>
    <w:rsid w:val="004001DC"/>
    <w:rsid w:val="0040071F"/>
    <w:rsid w:val="00400724"/>
    <w:rsid w:val="0040076E"/>
    <w:rsid w:val="004014C7"/>
    <w:rsid w:val="00401C53"/>
    <w:rsid w:val="00402213"/>
    <w:rsid w:val="0040247C"/>
    <w:rsid w:val="00402B21"/>
    <w:rsid w:val="0040355D"/>
    <w:rsid w:val="0040463C"/>
    <w:rsid w:val="00404767"/>
    <w:rsid w:val="00404944"/>
    <w:rsid w:val="00404A0F"/>
    <w:rsid w:val="00404D32"/>
    <w:rsid w:val="004068D5"/>
    <w:rsid w:val="00406D2A"/>
    <w:rsid w:val="0040712D"/>
    <w:rsid w:val="00410E0F"/>
    <w:rsid w:val="00410EFB"/>
    <w:rsid w:val="004122B1"/>
    <w:rsid w:val="00414076"/>
    <w:rsid w:val="00414D1A"/>
    <w:rsid w:val="00414D84"/>
    <w:rsid w:val="0041579B"/>
    <w:rsid w:val="00415C02"/>
    <w:rsid w:val="00416549"/>
    <w:rsid w:val="00416820"/>
    <w:rsid w:val="00416A50"/>
    <w:rsid w:val="00416D59"/>
    <w:rsid w:val="00416D96"/>
    <w:rsid w:val="00416FEB"/>
    <w:rsid w:val="00417037"/>
    <w:rsid w:val="00417A5C"/>
    <w:rsid w:val="00417FC2"/>
    <w:rsid w:val="0042026F"/>
    <w:rsid w:val="00420DF7"/>
    <w:rsid w:val="00422028"/>
    <w:rsid w:val="00422439"/>
    <w:rsid w:val="00422BB1"/>
    <w:rsid w:val="00422CDC"/>
    <w:rsid w:val="00422FD4"/>
    <w:rsid w:val="00423FE2"/>
    <w:rsid w:val="00424221"/>
    <w:rsid w:val="004243F6"/>
    <w:rsid w:val="0042496A"/>
    <w:rsid w:val="00425270"/>
    <w:rsid w:val="00425DCC"/>
    <w:rsid w:val="00425F14"/>
    <w:rsid w:val="0042623C"/>
    <w:rsid w:val="004262EA"/>
    <w:rsid w:val="00426E04"/>
    <w:rsid w:val="00427162"/>
    <w:rsid w:val="0042729D"/>
    <w:rsid w:val="00427398"/>
    <w:rsid w:val="00431D39"/>
    <w:rsid w:val="00434728"/>
    <w:rsid w:val="00434AF3"/>
    <w:rsid w:val="00434C9B"/>
    <w:rsid w:val="00434E18"/>
    <w:rsid w:val="0043510A"/>
    <w:rsid w:val="0043531E"/>
    <w:rsid w:val="00435EE5"/>
    <w:rsid w:val="0043630F"/>
    <w:rsid w:val="00436FD8"/>
    <w:rsid w:val="00437F3B"/>
    <w:rsid w:val="004402A6"/>
    <w:rsid w:val="00440624"/>
    <w:rsid w:val="004416FB"/>
    <w:rsid w:val="00442DF0"/>
    <w:rsid w:val="00443570"/>
    <w:rsid w:val="00444A2A"/>
    <w:rsid w:val="00445C34"/>
    <w:rsid w:val="00446A75"/>
    <w:rsid w:val="0044772F"/>
    <w:rsid w:val="004477C7"/>
    <w:rsid w:val="00447AFD"/>
    <w:rsid w:val="00451137"/>
    <w:rsid w:val="004513F8"/>
    <w:rsid w:val="00451FFA"/>
    <w:rsid w:val="00452C3A"/>
    <w:rsid w:val="00452D53"/>
    <w:rsid w:val="00452E57"/>
    <w:rsid w:val="004530CE"/>
    <w:rsid w:val="004537F9"/>
    <w:rsid w:val="00453D0F"/>
    <w:rsid w:val="00454B5A"/>
    <w:rsid w:val="00454FEA"/>
    <w:rsid w:val="0045542C"/>
    <w:rsid w:val="004556A4"/>
    <w:rsid w:val="00457765"/>
    <w:rsid w:val="00457F94"/>
    <w:rsid w:val="004601DB"/>
    <w:rsid w:val="00460DCF"/>
    <w:rsid w:val="00462377"/>
    <w:rsid w:val="00462530"/>
    <w:rsid w:val="00462987"/>
    <w:rsid w:val="004639B3"/>
    <w:rsid w:val="00463A6A"/>
    <w:rsid w:val="00463E3D"/>
    <w:rsid w:val="00464497"/>
    <w:rsid w:val="00464701"/>
    <w:rsid w:val="00464A56"/>
    <w:rsid w:val="004659E4"/>
    <w:rsid w:val="00465DC9"/>
    <w:rsid w:val="004660F2"/>
    <w:rsid w:val="00466635"/>
    <w:rsid w:val="00467727"/>
    <w:rsid w:val="00467A27"/>
    <w:rsid w:val="00467CE2"/>
    <w:rsid w:val="00470DC6"/>
    <w:rsid w:val="00471D09"/>
    <w:rsid w:val="00471FC0"/>
    <w:rsid w:val="00472AED"/>
    <w:rsid w:val="00473D0C"/>
    <w:rsid w:val="004745A5"/>
    <w:rsid w:val="00474C04"/>
    <w:rsid w:val="00474DFB"/>
    <w:rsid w:val="00474F02"/>
    <w:rsid w:val="0047542D"/>
    <w:rsid w:val="00475CE4"/>
    <w:rsid w:val="004762C4"/>
    <w:rsid w:val="00476EEB"/>
    <w:rsid w:val="00477436"/>
    <w:rsid w:val="00477B19"/>
    <w:rsid w:val="00481D38"/>
    <w:rsid w:val="00482BAC"/>
    <w:rsid w:val="0048500C"/>
    <w:rsid w:val="004866D0"/>
    <w:rsid w:val="00486C29"/>
    <w:rsid w:val="00486C7C"/>
    <w:rsid w:val="004925DE"/>
    <w:rsid w:val="004930D9"/>
    <w:rsid w:val="00493EBB"/>
    <w:rsid w:val="00493F76"/>
    <w:rsid w:val="00494370"/>
    <w:rsid w:val="00494779"/>
    <w:rsid w:val="00494AF6"/>
    <w:rsid w:val="0049506C"/>
    <w:rsid w:val="0049528F"/>
    <w:rsid w:val="004959EF"/>
    <w:rsid w:val="00495B93"/>
    <w:rsid w:val="004964CF"/>
    <w:rsid w:val="00496FC0"/>
    <w:rsid w:val="00497C05"/>
    <w:rsid w:val="004A0930"/>
    <w:rsid w:val="004A0F6E"/>
    <w:rsid w:val="004A162D"/>
    <w:rsid w:val="004A19ED"/>
    <w:rsid w:val="004A1AB9"/>
    <w:rsid w:val="004A2B27"/>
    <w:rsid w:val="004A367F"/>
    <w:rsid w:val="004A4970"/>
    <w:rsid w:val="004A4E4D"/>
    <w:rsid w:val="004A538E"/>
    <w:rsid w:val="004A5454"/>
    <w:rsid w:val="004A5698"/>
    <w:rsid w:val="004A60CB"/>
    <w:rsid w:val="004A6B72"/>
    <w:rsid w:val="004A7D81"/>
    <w:rsid w:val="004B026A"/>
    <w:rsid w:val="004B07AB"/>
    <w:rsid w:val="004B2E68"/>
    <w:rsid w:val="004B4370"/>
    <w:rsid w:val="004B47AE"/>
    <w:rsid w:val="004B4B3C"/>
    <w:rsid w:val="004B5897"/>
    <w:rsid w:val="004B5B67"/>
    <w:rsid w:val="004B5EC5"/>
    <w:rsid w:val="004B67A0"/>
    <w:rsid w:val="004B6B41"/>
    <w:rsid w:val="004B7E23"/>
    <w:rsid w:val="004C03E9"/>
    <w:rsid w:val="004C087E"/>
    <w:rsid w:val="004C1D4E"/>
    <w:rsid w:val="004C3454"/>
    <w:rsid w:val="004C36BA"/>
    <w:rsid w:val="004C3C89"/>
    <w:rsid w:val="004C3DD1"/>
    <w:rsid w:val="004C53B9"/>
    <w:rsid w:val="004C552D"/>
    <w:rsid w:val="004C681C"/>
    <w:rsid w:val="004C6F20"/>
    <w:rsid w:val="004C7CED"/>
    <w:rsid w:val="004D0586"/>
    <w:rsid w:val="004D205F"/>
    <w:rsid w:val="004D2A75"/>
    <w:rsid w:val="004D2F91"/>
    <w:rsid w:val="004D32D6"/>
    <w:rsid w:val="004D367E"/>
    <w:rsid w:val="004D38D7"/>
    <w:rsid w:val="004D3DAA"/>
    <w:rsid w:val="004D51A6"/>
    <w:rsid w:val="004D59F5"/>
    <w:rsid w:val="004D6432"/>
    <w:rsid w:val="004D67FA"/>
    <w:rsid w:val="004D71D2"/>
    <w:rsid w:val="004D7897"/>
    <w:rsid w:val="004E0978"/>
    <w:rsid w:val="004E0BFF"/>
    <w:rsid w:val="004E1364"/>
    <w:rsid w:val="004E1798"/>
    <w:rsid w:val="004E2871"/>
    <w:rsid w:val="004E3479"/>
    <w:rsid w:val="004E4174"/>
    <w:rsid w:val="004E417F"/>
    <w:rsid w:val="004E6700"/>
    <w:rsid w:val="004E68BD"/>
    <w:rsid w:val="004E6B23"/>
    <w:rsid w:val="004E7509"/>
    <w:rsid w:val="004E76C1"/>
    <w:rsid w:val="004E7DF4"/>
    <w:rsid w:val="004F0892"/>
    <w:rsid w:val="004F0FE7"/>
    <w:rsid w:val="004F11B9"/>
    <w:rsid w:val="004F133C"/>
    <w:rsid w:val="004F192A"/>
    <w:rsid w:val="004F1FC2"/>
    <w:rsid w:val="004F200A"/>
    <w:rsid w:val="004F3038"/>
    <w:rsid w:val="004F3F04"/>
    <w:rsid w:val="004F53D0"/>
    <w:rsid w:val="004F557C"/>
    <w:rsid w:val="004F56F4"/>
    <w:rsid w:val="004F6262"/>
    <w:rsid w:val="004F6263"/>
    <w:rsid w:val="004F6277"/>
    <w:rsid w:val="004F71DB"/>
    <w:rsid w:val="004F72E8"/>
    <w:rsid w:val="004F7357"/>
    <w:rsid w:val="004F7A11"/>
    <w:rsid w:val="004F7B33"/>
    <w:rsid w:val="00500F9F"/>
    <w:rsid w:val="005015B0"/>
    <w:rsid w:val="00501CC8"/>
    <w:rsid w:val="00502088"/>
    <w:rsid w:val="005026FC"/>
    <w:rsid w:val="00502D74"/>
    <w:rsid w:val="0050336C"/>
    <w:rsid w:val="00503406"/>
    <w:rsid w:val="00503B51"/>
    <w:rsid w:val="00503EFD"/>
    <w:rsid w:val="00503F02"/>
    <w:rsid w:val="00504A98"/>
    <w:rsid w:val="00504F9E"/>
    <w:rsid w:val="005055D0"/>
    <w:rsid w:val="00505718"/>
    <w:rsid w:val="00506408"/>
    <w:rsid w:val="0050645F"/>
    <w:rsid w:val="0050658B"/>
    <w:rsid w:val="00506A37"/>
    <w:rsid w:val="00507125"/>
    <w:rsid w:val="0050799B"/>
    <w:rsid w:val="00510894"/>
    <w:rsid w:val="00511F61"/>
    <w:rsid w:val="00512367"/>
    <w:rsid w:val="005137A9"/>
    <w:rsid w:val="005138E4"/>
    <w:rsid w:val="00513C4B"/>
    <w:rsid w:val="00514956"/>
    <w:rsid w:val="00515898"/>
    <w:rsid w:val="0051657D"/>
    <w:rsid w:val="00516CBE"/>
    <w:rsid w:val="0051708D"/>
    <w:rsid w:val="00517CF4"/>
    <w:rsid w:val="00517FEB"/>
    <w:rsid w:val="005208F6"/>
    <w:rsid w:val="005212BF"/>
    <w:rsid w:val="0052241B"/>
    <w:rsid w:val="0052278E"/>
    <w:rsid w:val="00522A12"/>
    <w:rsid w:val="005237D5"/>
    <w:rsid w:val="0052381D"/>
    <w:rsid w:val="0052437A"/>
    <w:rsid w:val="00524767"/>
    <w:rsid w:val="0052480F"/>
    <w:rsid w:val="00524FD1"/>
    <w:rsid w:val="00524FE6"/>
    <w:rsid w:val="005252E3"/>
    <w:rsid w:val="00525CCB"/>
    <w:rsid w:val="005264E6"/>
    <w:rsid w:val="00526507"/>
    <w:rsid w:val="005268E4"/>
    <w:rsid w:val="005273DE"/>
    <w:rsid w:val="005273EC"/>
    <w:rsid w:val="005307D2"/>
    <w:rsid w:val="00530D50"/>
    <w:rsid w:val="005313DE"/>
    <w:rsid w:val="00531F5A"/>
    <w:rsid w:val="00532894"/>
    <w:rsid w:val="005331D9"/>
    <w:rsid w:val="00533D68"/>
    <w:rsid w:val="005360C7"/>
    <w:rsid w:val="0053651C"/>
    <w:rsid w:val="0053666C"/>
    <w:rsid w:val="005367FA"/>
    <w:rsid w:val="00536B11"/>
    <w:rsid w:val="00536C84"/>
    <w:rsid w:val="00536CB5"/>
    <w:rsid w:val="00537750"/>
    <w:rsid w:val="00540968"/>
    <w:rsid w:val="00540A45"/>
    <w:rsid w:val="00541512"/>
    <w:rsid w:val="00541984"/>
    <w:rsid w:val="00541ED2"/>
    <w:rsid w:val="00541EE2"/>
    <w:rsid w:val="00542246"/>
    <w:rsid w:val="00542A4D"/>
    <w:rsid w:val="00542ADB"/>
    <w:rsid w:val="005431DC"/>
    <w:rsid w:val="00543DAB"/>
    <w:rsid w:val="00544FC1"/>
    <w:rsid w:val="00545B50"/>
    <w:rsid w:val="00546625"/>
    <w:rsid w:val="00546C67"/>
    <w:rsid w:val="00546D08"/>
    <w:rsid w:val="00546D72"/>
    <w:rsid w:val="005509CB"/>
    <w:rsid w:val="00550ABE"/>
    <w:rsid w:val="00550AD6"/>
    <w:rsid w:val="00550DCA"/>
    <w:rsid w:val="0055148F"/>
    <w:rsid w:val="005516C6"/>
    <w:rsid w:val="00551807"/>
    <w:rsid w:val="00552AB4"/>
    <w:rsid w:val="00552EE5"/>
    <w:rsid w:val="00553CB1"/>
    <w:rsid w:val="0055404A"/>
    <w:rsid w:val="00555052"/>
    <w:rsid w:val="005556A6"/>
    <w:rsid w:val="005561E5"/>
    <w:rsid w:val="00556FEA"/>
    <w:rsid w:val="0055709B"/>
    <w:rsid w:val="005570EC"/>
    <w:rsid w:val="005577BC"/>
    <w:rsid w:val="00560940"/>
    <w:rsid w:val="00561311"/>
    <w:rsid w:val="005615D8"/>
    <w:rsid w:val="00561CB9"/>
    <w:rsid w:val="00561CF4"/>
    <w:rsid w:val="005623E6"/>
    <w:rsid w:val="005635F7"/>
    <w:rsid w:val="005640C6"/>
    <w:rsid w:val="0056431E"/>
    <w:rsid w:val="00564755"/>
    <w:rsid w:val="00565DCB"/>
    <w:rsid w:val="00565EFC"/>
    <w:rsid w:val="0056638B"/>
    <w:rsid w:val="00566D8E"/>
    <w:rsid w:val="00566E87"/>
    <w:rsid w:val="0056746C"/>
    <w:rsid w:val="00567A19"/>
    <w:rsid w:val="00571032"/>
    <w:rsid w:val="005710F2"/>
    <w:rsid w:val="005713D1"/>
    <w:rsid w:val="00571874"/>
    <w:rsid w:val="005724CA"/>
    <w:rsid w:val="00572BB3"/>
    <w:rsid w:val="005738F5"/>
    <w:rsid w:val="00573D82"/>
    <w:rsid w:val="00574479"/>
    <w:rsid w:val="0057523E"/>
    <w:rsid w:val="0057659A"/>
    <w:rsid w:val="005770E5"/>
    <w:rsid w:val="0057727D"/>
    <w:rsid w:val="005773A1"/>
    <w:rsid w:val="005778CA"/>
    <w:rsid w:val="00577F34"/>
    <w:rsid w:val="00580822"/>
    <w:rsid w:val="005820A9"/>
    <w:rsid w:val="005820ED"/>
    <w:rsid w:val="0058218F"/>
    <w:rsid w:val="0058366C"/>
    <w:rsid w:val="00584D5A"/>
    <w:rsid w:val="005850C2"/>
    <w:rsid w:val="0058567C"/>
    <w:rsid w:val="00585983"/>
    <w:rsid w:val="00585D30"/>
    <w:rsid w:val="00586BB6"/>
    <w:rsid w:val="00587212"/>
    <w:rsid w:val="00587F82"/>
    <w:rsid w:val="005900CC"/>
    <w:rsid w:val="00590B1F"/>
    <w:rsid w:val="0059101C"/>
    <w:rsid w:val="005911A7"/>
    <w:rsid w:val="00591A9C"/>
    <w:rsid w:val="00591C6F"/>
    <w:rsid w:val="0059391F"/>
    <w:rsid w:val="00594084"/>
    <w:rsid w:val="00594604"/>
    <w:rsid w:val="00594708"/>
    <w:rsid w:val="00594731"/>
    <w:rsid w:val="00594C30"/>
    <w:rsid w:val="005954AE"/>
    <w:rsid w:val="005A0378"/>
    <w:rsid w:val="005A0A6B"/>
    <w:rsid w:val="005A0A6F"/>
    <w:rsid w:val="005A0B0E"/>
    <w:rsid w:val="005A11BA"/>
    <w:rsid w:val="005A17BA"/>
    <w:rsid w:val="005A218D"/>
    <w:rsid w:val="005A330F"/>
    <w:rsid w:val="005A4223"/>
    <w:rsid w:val="005A464A"/>
    <w:rsid w:val="005A5031"/>
    <w:rsid w:val="005A5B13"/>
    <w:rsid w:val="005A6A11"/>
    <w:rsid w:val="005A6AA7"/>
    <w:rsid w:val="005A7EBC"/>
    <w:rsid w:val="005B1346"/>
    <w:rsid w:val="005B1DBF"/>
    <w:rsid w:val="005B2DC0"/>
    <w:rsid w:val="005B485F"/>
    <w:rsid w:val="005B5743"/>
    <w:rsid w:val="005B59CD"/>
    <w:rsid w:val="005B77E3"/>
    <w:rsid w:val="005B78E7"/>
    <w:rsid w:val="005B7E1A"/>
    <w:rsid w:val="005C0615"/>
    <w:rsid w:val="005C0740"/>
    <w:rsid w:val="005C0AB0"/>
    <w:rsid w:val="005C156C"/>
    <w:rsid w:val="005C20D7"/>
    <w:rsid w:val="005C23E6"/>
    <w:rsid w:val="005C32B3"/>
    <w:rsid w:val="005C34CF"/>
    <w:rsid w:val="005C43AC"/>
    <w:rsid w:val="005C440E"/>
    <w:rsid w:val="005C44E2"/>
    <w:rsid w:val="005C480F"/>
    <w:rsid w:val="005C7027"/>
    <w:rsid w:val="005C7C9B"/>
    <w:rsid w:val="005C7CC4"/>
    <w:rsid w:val="005C7E1C"/>
    <w:rsid w:val="005C7ED6"/>
    <w:rsid w:val="005D0426"/>
    <w:rsid w:val="005D1861"/>
    <w:rsid w:val="005D1967"/>
    <w:rsid w:val="005D211D"/>
    <w:rsid w:val="005D3865"/>
    <w:rsid w:val="005D41C7"/>
    <w:rsid w:val="005D4C4F"/>
    <w:rsid w:val="005D5FD2"/>
    <w:rsid w:val="005D6B13"/>
    <w:rsid w:val="005D6E14"/>
    <w:rsid w:val="005D70FC"/>
    <w:rsid w:val="005D71A9"/>
    <w:rsid w:val="005D7BA2"/>
    <w:rsid w:val="005E0FD2"/>
    <w:rsid w:val="005E2010"/>
    <w:rsid w:val="005E2A04"/>
    <w:rsid w:val="005E2B7E"/>
    <w:rsid w:val="005E3C79"/>
    <w:rsid w:val="005E41DB"/>
    <w:rsid w:val="005E5952"/>
    <w:rsid w:val="005E5A02"/>
    <w:rsid w:val="005E66C0"/>
    <w:rsid w:val="005E6F29"/>
    <w:rsid w:val="005E6F8D"/>
    <w:rsid w:val="005E7954"/>
    <w:rsid w:val="005E7AC3"/>
    <w:rsid w:val="005F18E0"/>
    <w:rsid w:val="005F1904"/>
    <w:rsid w:val="005F2049"/>
    <w:rsid w:val="005F23FC"/>
    <w:rsid w:val="005F3032"/>
    <w:rsid w:val="005F4162"/>
    <w:rsid w:val="005F4FEB"/>
    <w:rsid w:val="005F5058"/>
    <w:rsid w:val="005F5E52"/>
    <w:rsid w:val="005F618C"/>
    <w:rsid w:val="005F6B4B"/>
    <w:rsid w:val="005F7209"/>
    <w:rsid w:val="006009AD"/>
    <w:rsid w:val="00600B8D"/>
    <w:rsid w:val="00600C7C"/>
    <w:rsid w:val="006012CE"/>
    <w:rsid w:val="00601411"/>
    <w:rsid w:val="00601AFC"/>
    <w:rsid w:val="006021B8"/>
    <w:rsid w:val="00602FEB"/>
    <w:rsid w:val="006038FA"/>
    <w:rsid w:val="0060562E"/>
    <w:rsid w:val="00605895"/>
    <w:rsid w:val="00606B8F"/>
    <w:rsid w:val="006070DD"/>
    <w:rsid w:val="006076FD"/>
    <w:rsid w:val="00607918"/>
    <w:rsid w:val="00610BEB"/>
    <w:rsid w:val="00610CAB"/>
    <w:rsid w:val="00611388"/>
    <w:rsid w:val="006119C8"/>
    <w:rsid w:val="00611B5E"/>
    <w:rsid w:val="00613301"/>
    <w:rsid w:val="006135BA"/>
    <w:rsid w:val="00613864"/>
    <w:rsid w:val="0061421A"/>
    <w:rsid w:val="00614246"/>
    <w:rsid w:val="006142F3"/>
    <w:rsid w:val="006151C3"/>
    <w:rsid w:val="00616440"/>
    <w:rsid w:val="00616B58"/>
    <w:rsid w:val="00616E33"/>
    <w:rsid w:val="0061781F"/>
    <w:rsid w:val="00617C3E"/>
    <w:rsid w:val="00617F70"/>
    <w:rsid w:val="006201B8"/>
    <w:rsid w:val="0062055A"/>
    <w:rsid w:val="00620C7D"/>
    <w:rsid w:val="006232A1"/>
    <w:rsid w:val="006242BB"/>
    <w:rsid w:val="00624627"/>
    <w:rsid w:val="00624A5F"/>
    <w:rsid w:val="00625462"/>
    <w:rsid w:val="00625E7E"/>
    <w:rsid w:val="0062663E"/>
    <w:rsid w:val="00626A05"/>
    <w:rsid w:val="00626E2C"/>
    <w:rsid w:val="00626F6A"/>
    <w:rsid w:val="00626FFA"/>
    <w:rsid w:val="00627746"/>
    <w:rsid w:val="0063055C"/>
    <w:rsid w:val="00631B46"/>
    <w:rsid w:val="006326B4"/>
    <w:rsid w:val="00632A7D"/>
    <w:rsid w:val="0063356A"/>
    <w:rsid w:val="006337E6"/>
    <w:rsid w:val="00633E2C"/>
    <w:rsid w:val="006340F5"/>
    <w:rsid w:val="00634B3D"/>
    <w:rsid w:val="006355D6"/>
    <w:rsid w:val="006362DE"/>
    <w:rsid w:val="006364FF"/>
    <w:rsid w:val="0063660F"/>
    <w:rsid w:val="00636C7D"/>
    <w:rsid w:val="0063723A"/>
    <w:rsid w:val="0063743A"/>
    <w:rsid w:val="00637777"/>
    <w:rsid w:val="00640517"/>
    <w:rsid w:val="00640A94"/>
    <w:rsid w:val="00640C44"/>
    <w:rsid w:val="0064213E"/>
    <w:rsid w:val="00642480"/>
    <w:rsid w:val="006424EA"/>
    <w:rsid w:val="00642764"/>
    <w:rsid w:val="00642FDC"/>
    <w:rsid w:val="006436A1"/>
    <w:rsid w:val="00645A90"/>
    <w:rsid w:val="00650175"/>
    <w:rsid w:val="00650926"/>
    <w:rsid w:val="00650976"/>
    <w:rsid w:val="0065188C"/>
    <w:rsid w:val="00652156"/>
    <w:rsid w:val="00652882"/>
    <w:rsid w:val="006528F4"/>
    <w:rsid w:val="006533F6"/>
    <w:rsid w:val="00653B4B"/>
    <w:rsid w:val="00653DDA"/>
    <w:rsid w:val="006543F9"/>
    <w:rsid w:val="00654A06"/>
    <w:rsid w:val="00654EE2"/>
    <w:rsid w:val="00655C4E"/>
    <w:rsid w:val="006570DC"/>
    <w:rsid w:val="00657C46"/>
    <w:rsid w:val="00660BAF"/>
    <w:rsid w:val="006613CF"/>
    <w:rsid w:val="00661550"/>
    <w:rsid w:val="0066190E"/>
    <w:rsid w:val="00661A98"/>
    <w:rsid w:val="006631E4"/>
    <w:rsid w:val="00663554"/>
    <w:rsid w:val="00664D1B"/>
    <w:rsid w:val="006653E9"/>
    <w:rsid w:val="0066565D"/>
    <w:rsid w:val="006659DA"/>
    <w:rsid w:val="0066630E"/>
    <w:rsid w:val="00666EE5"/>
    <w:rsid w:val="00667C2D"/>
    <w:rsid w:val="00667CC4"/>
    <w:rsid w:val="00667F91"/>
    <w:rsid w:val="006702DD"/>
    <w:rsid w:val="00670B71"/>
    <w:rsid w:val="00670BC3"/>
    <w:rsid w:val="00670D34"/>
    <w:rsid w:val="0067128A"/>
    <w:rsid w:val="00671822"/>
    <w:rsid w:val="00671BE2"/>
    <w:rsid w:val="00671C39"/>
    <w:rsid w:val="006724D6"/>
    <w:rsid w:val="00672807"/>
    <w:rsid w:val="00673DD6"/>
    <w:rsid w:val="00674FED"/>
    <w:rsid w:val="00675723"/>
    <w:rsid w:val="00675EF3"/>
    <w:rsid w:val="00675F5A"/>
    <w:rsid w:val="0067675E"/>
    <w:rsid w:val="006767F5"/>
    <w:rsid w:val="00676A62"/>
    <w:rsid w:val="006775C3"/>
    <w:rsid w:val="006824CA"/>
    <w:rsid w:val="00682BDB"/>
    <w:rsid w:val="00682DC7"/>
    <w:rsid w:val="006830C4"/>
    <w:rsid w:val="006837C0"/>
    <w:rsid w:val="00683E12"/>
    <w:rsid w:val="006840F8"/>
    <w:rsid w:val="0068460F"/>
    <w:rsid w:val="0068525D"/>
    <w:rsid w:val="0068646B"/>
    <w:rsid w:val="00686AE3"/>
    <w:rsid w:val="006873CD"/>
    <w:rsid w:val="00687455"/>
    <w:rsid w:val="0068748E"/>
    <w:rsid w:val="0068765E"/>
    <w:rsid w:val="006905B5"/>
    <w:rsid w:val="006907B6"/>
    <w:rsid w:val="006908E7"/>
    <w:rsid w:val="00690991"/>
    <w:rsid w:val="00690B9C"/>
    <w:rsid w:val="00691201"/>
    <w:rsid w:val="006914C0"/>
    <w:rsid w:val="0069160A"/>
    <w:rsid w:val="006923DF"/>
    <w:rsid w:val="0069277A"/>
    <w:rsid w:val="0069299A"/>
    <w:rsid w:val="00692C40"/>
    <w:rsid w:val="00692D7C"/>
    <w:rsid w:val="00692DD5"/>
    <w:rsid w:val="00692E0F"/>
    <w:rsid w:val="00693664"/>
    <w:rsid w:val="006939ED"/>
    <w:rsid w:val="00694BB2"/>
    <w:rsid w:val="00694C2A"/>
    <w:rsid w:val="00694F3D"/>
    <w:rsid w:val="00695576"/>
    <w:rsid w:val="00695FCB"/>
    <w:rsid w:val="0069601C"/>
    <w:rsid w:val="006971BE"/>
    <w:rsid w:val="006972D4"/>
    <w:rsid w:val="006A149F"/>
    <w:rsid w:val="006A2AB9"/>
    <w:rsid w:val="006A31E7"/>
    <w:rsid w:val="006A480A"/>
    <w:rsid w:val="006A4981"/>
    <w:rsid w:val="006A64F0"/>
    <w:rsid w:val="006A6A2A"/>
    <w:rsid w:val="006A6D00"/>
    <w:rsid w:val="006A74C4"/>
    <w:rsid w:val="006A77A7"/>
    <w:rsid w:val="006B01F7"/>
    <w:rsid w:val="006B0276"/>
    <w:rsid w:val="006B07B6"/>
    <w:rsid w:val="006B1112"/>
    <w:rsid w:val="006B1388"/>
    <w:rsid w:val="006B1A4A"/>
    <w:rsid w:val="006B1F50"/>
    <w:rsid w:val="006B2D7B"/>
    <w:rsid w:val="006B3214"/>
    <w:rsid w:val="006B349F"/>
    <w:rsid w:val="006B3DD6"/>
    <w:rsid w:val="006B457B"/>
    <w:rsid w:val="006B4886"/>
    <w:rsid w:val="006B6C91"/>
    <w:rsid w:val="006B6EF0"/>
    <w:rsid w:val="006B709A"/>
    <w:rsid w:val="006B737D"/>
    <w:rsid w:val="006B76BE"/>
    <w:rsid w:val="006B7E23"/>
    <w:rsid w:val="006C007A"/>
    <w:rsid w:val="006C0762"/>
    <w:rsid w:val="006C0BDA"/>
    <w:rsid w:val="006C2390"/>
    <w:rsid w:val="006C2AEB"/>
    <w:rsid w:val="006C325A"/>
    <w:rsid w:val="006C3372"/>
    <w:rsid w:val="006C4B5E"/>
    <w:rsid w:val="006C4F76"/>
    <w:rsid w:val="006C54BD"/>
    <w:rsid w:val="006C5B28"/>
    <w:rsid w:val="006C5BC2"/>
    <w:rsid w:val="006C611F"/>
    <w:rsid w:val="006C6687"/>
    <w:rsid w:val="006C6D5B"/>
    <w:rsid w:val="006C75E1"/>
    <w:rsid w:val="006C78CD"/>
    <w:rsid w:val="006D0371"/>
    <w:rsid w:val="006D0906"/>
    <w:rsid w:val="006D14D6"/>
    <w:rsid w:val="006D1A97"/>
    <w:rsid w:val="006D2E32"/>
    <w:rsid w:val="006D3257"/>
    <w:rsid w:val="006D394B"/>
    <w:rsid w:val="006D477C"/>
    <w:rsid w:val="006D5324"/>
    <w:rsid w:val="006D5680"/>
    <w:rsid w:val="006D5C9C"/>
    <w:rsid w:val="006D62FC"/>
    <w:rsid w:val="006D6B90"/>
    <w:rsid w:val="006D6D6B"/>
    <w:rsid w:val="006D7A4C"/>
    <w:rsid w:val="006E05C6"/>
    <w:rsid w:val="006E0645"/>
    <w:rsid w:val="006E069D"/>
    <w:rsid w:val="006E0DD0"/>
    <w:rsid w:val="006E132C"/>
    <w:rsid w:val="006E1735"/>
    <w:rsid w:val="006E281A"/>
    <w:rsid w:val="006E2EB9"/>
    <w:rsid w:val="006E43BE"/>
    <w:rsid w:val="006E52F2"/>
    <w:rsid w:val="006E6610"/>
    <w:rsid w:val="006F01A7"/>
    <w:rsid w:val="006F0806"/>
    <w:rsid w:val="006F0F06"/>
    <w:rsid w:val="006F0F2D"/>
    <w:rsid w:val="006F1A75"/>
    <w:rsid w:val="006F2048"/>
    <w:rsid w:val="006F30E3"/>
    <w:rsid w:val="006F358B"/>
    <w:rsid w:val="006F3DD2"/>
    <w:rsid w:val="006F4083"/>
    <w:rsid w:val="006F4CFF"/>
    <w:rsid w:val="006F5ACE"/>
    <w:rsid w:val="006F5FC8"/>
    <w:rsid w:val="006F7538"/>
    <w:rsid w:val="006F77EF"/>
    <w:rsid w:val="006F79DA"/>
    <w:rsid w:val="00700E8D"/>
    <w:rsid w:val="007020BD"/>
    <w:rsid w:val="007022F2"/>
    <w:rsid w:val="0070311D"/>
    <w:rsid w:val="007033D9"/>
    <w:rsid w:val="00703ECF"/>
    <w:rsid w:val="00705843"/>
    <w:rsid w:val="0070584F"/>
    <w:rsid w:val="007060AE"/>
    <w:rsid w:val="00706907"/>
    <w:rsid w:val="007075DD"/>
    <w:rsid w:val="007101D1"/>
    <w:rsid w:val="007108C4"/>
    <w:rsid w:val="00710B22"/>
    <w:rsid w:val="007119B4"/>
    <w:rsid w:val="00711AD1"/>
    <w:rsid w:val="00713A00"/>
    <w:rsid w:val="00713CC8"/>
    <w:rsid w:val="00713E60"/>
    <w:rsid w:val="00713F10"/>
    <w:rsid w:val="007156AE"/>
    <w:rsid w:val="00715AC9"/>
    <w:rsid w:val="00716478"/>
    <w:rsid w:val="007165E6"/>
    <w:rsid w:val="00717455"/>
    <w:rsid w:val="00717AA4"/>
    <w:rsid w:val="0072071D"/>
    <w:rsid w:val="00721486"/>
    <w:rsid w:val="007216C6"/>
    <w:rsid w:val="00722627"/>
    <w:rsid w:val="007227F1"/>
    <w:rsid w:val="007238E2"/>
    <w:rsid w:val="00724063"/>
    <w:rsid w:val="00724161"/>
    <w:rsid w:val="00724B90"/>
    <w:rsid w:val="00724D9C"/>
    <w:rsid w:val="007268AF"/>
    <w:rsid w:val="00727287"/>
    <w:rsid w:val="007273EE"/>
    <w:rsid w:val="007275CE"/>
    <w:rsid w:val="007316F0"/>
    <w:rsid w:val="0073212E"/>
    <w:rsid w:val="00732210"/>
    <w:rsid w:val="00732D65"/>
    <w:rsid w:val="00733405"/>
    <w:rsid w:val="0073389D"/>
    <w:rsid w:val="00733C3D"/>
    <w:rsid w:val="007340A5"/>
    <w:rsid w:val="00734844"/>
    <w:rsid w:val="0073661E"/>
    <w:rsid w:val="007375A3"/>
    <w:rsid w:val="007404F8"/>
    <w:rsid w:val="007414BE"/>
    <w:rsid w:val="00741843"/>
    <w:rsid w:val="00741E40"/>
    <w:rsid w:val="0074293A"/>
    <w:rsid w:val="00742D57"/>
    <w:rsid w:val="007445E8"/>
    <w:rsid w:val="0074469F"/>
    <w:rsid w:val="0074478A"/>
    <w:rsid w:val="0074501F"/>
    <w:rsid w:val="00745B85"/>
    <w:rsid w:val="007469BE"/>
    <w:rsid w:val="00747382"/>
    <w:rsid w:val="00747875"/>
    <w:rsid w:val="00747ED3"/>
    <w:rsid w:val="00747FAA"/>
    <w:rsid w:val="007502A8"/>
    <w:rsid w:val="0075083B"/>
    <w:rsid w:val="00750854"/>
    <w:rsid w:val="00750C66"/>
    <w:rsid w:val="00751869"/>
    <w:rsid w:val="0075197D"/>
    <w:rsid w:val="00751F50"/>
    <w:rsid w:val="007526B0"/>
    <w:rsid w:val="00752D9A"/>
    <w:rsid w:val="00753B21"/>
    <w:rsid w:val="00754931"/>
    <w:rsid w:val="00754E69"/>
    <w:rsid w:val="007551EE"/>
    <w:rsid w:val="00757D6B"/>
    <w:rsid w:val="0076045B"/>
    <w:rsid w:val="007608FC"/>
    <w:rsid w:val="00760CB3"/>
    <w:rsid w:val="007617F9"/>
    <w:rsid w:val="0076197F"/>
    <w:rsid w:val="00761A08"/>
    <w:rsid w:val="00762420"/>
    <w:rsid w:val="00762482"/>
    <w:rsid w:val="00762C3D"/>
    <w:rsid w:val="00762D84"/>
    <w:rsid w:val="007633C7"/>
    <w:rsid w:val="007651D0"/>
    <w:rsid w:val="0076559D"/>
    <w:rsid w:val="007657D7"/>
    <w:rsid w:val="00765AEB"/>
    <w:rsid w:val="00766135"/>
    <w:rsid w:val="00766151"/>
    <w:rsid w:val="00766DCE"/>
    <w:rsid w:val="00767B10"/>
    <w:rsid w:val="00767B3D"/>
    <w:rsid w:val="00767D38"/>
    <w:rsid w:val="00770411"/>
    <w:rsid w:val="00770F15"/>
    <w:rsid w:val="007731CF"/>
    <w:rsid w:val="00774404"/>
    <w:rsid w:val="007758E8"/>
    <w:rsid w:val="00777805"/>
    <w:rsid w:val="007807E5"/>
    <w:rsid w:val="00781165"/>
    <w:rsid w:val="00781FDE"/>
    <w:rsid w:val="007821C7"/>
    <w:rsid w:val="007824FB"/>
    <w:rsid w:val="0078345B"/>
    <w:rsid w:val="007838B2"/>
    <w:rsid w:val="007838F0"/>
    <w:rsid w:val="007840E4"/>
    <w:rsid w:val="007841EB"/>
    <w:rsid w:val="007855E7"/>
    <w:rsid w:val="00785EE8"/>
    <w:rsid w:val="00787EC6"/>
    <w:rsid w:val="00791B84"/>
    <w:rsid w:val="00792235"/>
    <w:rsid w:val="00792536"/>
    <w:rsid w:val="007934BC"/>
    <w:rsid w:val="007934EB"/>
    <w:rsid w:val="007939A3"/>
    <w:rsid w:val="0079455B"/>
    <w:rsid w:val="00796316"/>
    <w:rsid w:val="00796552"/>
    <w:rsid w:val="00796710"/>
    <w:rsid w:val="007967DA"/>
    <w:rsid w:val="0079704A"/>
    <w:rsid w:val="007A0217"/>
    <w:rsid w:val="007A087D"/>
    <w:rsid w:val="007A0CB3"/>
    <w:rsid w:val="007A12C9"/>
    <w:rsid w:val="007A25FD"/>
    <w:rsid w:val="007A2CD0"/>
    <w:rsid w:val="007A3911"/>
    <w:rsid w:val="007A401C"/>
    <w:rsid w:val="007A4061"/>
    <w:rsid w:val="007A57FD"/>
    <w:rsid w:val="007A5C3D"/>
    <w:rsid w:val="007A5DBA"/>
    <w:rsid w:val="007A6722"/>
    <w:rsid w:val="007A70CA"/>
    <w:rsid w:val="007A7398"/>
    <w:rsid w:val="007B0526"/>
    <w:rsid w:val="007B0854"/>
    <w:rsid w:val="007B1AB7"/>
    <w:rsid w:val="007B1BF9"/>
    <w:rsid w:val="007B1D32"/>
    <w:rsid w:val="007B4105"/>
    <w:rsid w:val="007B58E7"/>
    <w:rsid w:val="007B5A60"/>
    <w:rsid w:val="007B5D96"/>
    <w:rsid w:val="007B601F"/>
    <w:rsid w:val="007B6B5F"/>
    <w:rsid w:val="007B73B2"/>
    <w:rsid w:val="007C0000"/>
    <w:rsid w:val="007C003B"/>
    <w:rsid w:val="007C04BA"/>
    <w:rsid w:val="007C05F6"/>
    <w:rsid w:val="007C090F"/>
    <w:rsid w:val="007C0D87"/>
    <w:rsid w:val="007C0D90"/>
    <w:rsid w:val="007C1B67"/>
    <w:rsid w:val="007C1CBE"/>
    <w:rsid w:val="007C215A"/>
    <w:rsid w:val="007C2993"/>
    <w:rsid w:val="007C3289"/>
    <w:rsid w:val="007C4B08"/>
    <w:rsid w:val="007C4BB7"/>
    <w:rsid w:val="007C5473"/>
    <w:rsid w:val="007C5D96"/>
    <w:rsid w:val="007C60B0"/>
    <w:rsid w:val="007C6A62"/>
    <w:rsid w:val="007C75AB"/>
    <w:rsid w:val="007C7B42"/>
    <w:rsid w:val="007D1374"/>
    <w:rsid w:val="007D1A08"/>
    <w:rsid w:val="007D2C3A"/>
    <w:rsid w:val="007D3612"/>
    <w:rsid w:val="007D423B"/>
    <w:rsid w:val="007D4A5D"/>
    <w:rsid w:val="007D68C6"/>
    <w:rsid w:val="007D6AE5"/>
    <w:rsid w:val="007D70E2"/>
    <w:rsid w:val="007D7997"/>
    <w:rsid w:val="007E0472"/>
    <w:rsid w:val="007E0E4C"/>
    <w:rsid w:val="007E1C66"/>
    <w:rsid w:val="007E1D4B"/>
    <w:rsid w:val="007E26BD"/>
    <w:rsid w:val="007E37DA"/>
    <w:rsid w:val="007E4567"/>
    <w:rsid w:val="007E57B4"/>
    <w:rsid w:val="007E5E80"/>
    <w:rsid w:val="007E68AE"/>
    <w:rsid w:val="007E6D58"/>
    <w:rsid w:val="007E712F"/>
    <w:rsid w:val="007E7257"/>
    <w:rsid w:val="007E76AF"/>
    <w:rsid w:val="007E77F0"/>
    <w:rsid w:val="007E7B4F"/>
    <w:rsid w:val="007F03D1"/>
    <w:rsid w:val="007F1691"/>
    <w:rsid w:val="007F30B6"/>
    <w:rsid w:val="007F3160"/>
    <w:rsid w:val="007F361E"/>
    <w:rsid w:val="007F36E9"/>
    <w:rsid w:val="007F382F"/>
    <w:rsid w:val="007F4442"/>
    <w:rsid w:val="007F6007"/>
    <w:rsid w:val="007F6E0F"/>
    <w:rsid w:val="007F72F8"/>
    <w:rsid w:val="007F752E"/>
    <w:rsid w:val="008003C5"/>
    <w:rsid w:val="00801516"/>
    <w:rsid w:val="008016D3"/>
    <w:rsid w:val="00801FCE"/>
    <w:rsid w:val="00803402"/>
    <w:rsid w:val="00803693"/>
    <w:rsid w:val="00803B5F"/>
    <w:rsid w:val="00803DF6"/>
    <w:rsid w:val="00803E40"/>
    <w:rsid w:val="008055DC"/>
    <w:rsid w:val="0080621F"/>
    <w:rsid w:val="00806877"/>
    <w:rsid w:val="00806A19"/>
    <w:rsid w:val="00806A4A"/>
    <w:rsid w:val="00810323"/>
    <w:rsid w:val="008104F0"/>
    <w:rsid w:val="0081088A"/>
    <w:rsid w:val="008116B1"/>
    <w:rsid w:val="0081252D"/>
    <w:rsid w:val="0081261D"/>
    <w:rsid w:val="00812720"/>
    <w:rsid w:val="008136A2"/>
    <w:rsid w:val="00813DAF"/>
    <w:rsid w:val="00813FAE"/>
    <w:rsid w:val="00814CD6"/>
    <w:rsid w:val="00815226"/>
    <w:rsid w:val="008157EA"/>
    <w:rsid w:val="00815B55"/>
    <w:rsid w:val="00816027"/>
    <w:rsid w:val="008167CF"/>
    <w:rsid w:val="00817084"/>
    <w:rsid w:val="00820246"/>
    <w:rsid w:val="008207FB"/>
    <w:rsid w:val="00821186"/>
    <w:rsid w:val="00821239"/>
    <w:rsid w:val="00821813"/>
    <w:rsid w:val="00821DE7"/>
    <w:rsid w:val="00822A7A"/>
    <w:rsid w:val="00822AD6"/>
    <w:rsid w:val="00822B18"/>
    <w:rsid w:val="00823FE3"/>
    <w:rsid w:val="008245E1"/>
    <w:rsid w:val="008263A6"/>
    <w:rsid w:val="008266E2"/>
    <w:rsid w:val="008269F6"/>
    <w:rsid w:val="00830211"/>
    <w:rsid w:val="00830268"/>
    <w:rsid w:val="008305B3"/>
    <w:rsid w:val="0083075B"/>
    <w:rsid w:val="008307E5"/>
    <w:rsid w:val="00831388"/>
    <w:rsid w:val="008317B7"/>
    <w:rsid w:val="00831D3D"/>
    <w:rsid w:val="00832620"/>
    <w:rsid w:val="008336A0"/>
    <w:rsid w:val="008337D8"/>
    <w:rsid w:val="00833AF6"/>
    <w:rsid w:val="0083409B"/>
    <w:rsid w:val="008344F6"/>
    <w:rsid w:val="00834794"/>
    <w:rsid w:val="00835269"/>
    <w:rsid w:val="00835ED5"/>
    <w:rsid w:val="0083727F"/>
    <w:rsid w:val="00837821"/>
    <w:rsid w:val="00843ADB"/>
    <w:rsid w:val="0084423D"/>
    <w:rsid w:val="008444BD"/>
    <w:rsid w:val="0084466A"/>
    <w:rsid w:val="00845353"/>
    <w:rsid w:val="008460F4"/>
    <w:rsid w:val="0084695D"/>
    <w:rsid w:val="00846EE2"/>
    <w:rsid w:val="008502A9"/>
    <w:rsid w:val="00850B0B"/>
    <w:rsid w:val="00850B25"/>
    <w:rsid w:val="00850D30"/>
    <w:rsid w:val="00850DAD"/>
    <w:rsid w:val="00851C5D"/>
    <w:rsid w:val="008527D9"/>
    <w:rsid w:val="008529D1"/>
    <w:rsid w:val="00852F1C"/>
    <w:rsid w:val="008530D2"/>
    <w:rsid w:val="00853453"/>
    <w:rsid w:val="00853F2D"/>
    <w:rsid w:val="00854795"/>
    <w:rsid w:val="00855A55"/>
    <w:rsid w:val="00856D6B"/>
    <w:rsid w:val="00857569"/>
    <w:rsid w:val="008575D2"/>
    <w:rsid w:val="00860131"/>
    <w:rsid w:val="0086038B"/>
    <w:rsid w:val="00860FDE"/>
    <w:rsid w:val="0086163E"/>
    <w:rsid w:val="008619A1"/>
    <w:rsid w:val="00862266"/>
    <w:rsid w:val="00863CF9"/>
    <w:rsid w:val="00864291"/>
    <w:rsid w:val="00866CC4"/>
    <w:rsid w:val="00866F23"/>
    <w:rsid w:val="008679CC"/>
    <w:rsid w:val="00867D63"/>
    <w:rsid w:val="00872F3F"/>
    <w:rsid w:val="00873973"/>
    <w:rsid w:val="00873EEF"/>
    <w:rsid w:val="008740A5"/>
    <w:rsid w:val="008742EB"/>
    <w:rsid w:val="00875343"/>
    <w:rsid w:val="00875A4C"/>
    <w:rsid w:val="00875FCD"/>
    <w:rsid w:val="00876A04"/>
    <w:rsid w:val="00877DF1"/>
    <w:rsid w:val="0088192C"/>
    <w:rsid w:val="00881FEA"/>
    <w:rsid w:val="00882E48"/>
    <w:rsid w:val="00883513"/>
    <w:rsid w:val="008836C5"/>
    <w:rsid w:val="008836D1"/>
    <w:rsid w:val="0088434F"/>
    <w:rsid w:val="008862E8"/>
    <w:rsid w:val="0088745D"/>
    <w:rsid w:val="00887490"/>
    <w:rsid w:val="00890017"/>
    <w:rsid w:val="00890817"/>
    <w:rsid w:val="00890F4E"/>
    <w:rsid w:val="0089133A"/>
    <w:rsid w:val="0089282C"/>
    <w:rsid w:val="00892CF6"/>
    <w:rsid w:val="00893298"/>
    <w:rsid w:val="0089400C"/>
    <w:rsid w:val="00894251"/>
    <w:rsid w:val="00894FA3"/>
    <w:rsid w:val="00895BC0"/>
    <w:rsid w:val="00895C69"/>
    <w:rsid w:val="00895C7E"/>
    <w:rsid w:val="00896540"/>
    <w:rsid w:val="0089685C"/>
    <w:rsid w:val="00896DB2"/>
    <w:rsid w:val="00897F13"/>
    <w:rsid w:val="008A0034"/>
    <w:rsid w:val="008A0796"/>
    <w:rsid w:val="008A07F1"/>
    <w:rsid w:val="008A0ECA"/>
    <w:rsid w:val="008A16A8"/>
    <w:rsid w:val="008A21B0"/>
    <w:rsid w:val="008A2A2D"/>
    <w:rsid w:val="008A35CF"/>
    <w:rsid w:val="008A368D"/>
    <w:rsid w:val="008A3B1F"/>
    <w:rsid w:val="008A4BB8"/>
    <w:rsid w:val="008A5E02"/>
    <w:rsid w:val="008A683F"/>
    <w:rsid w:val="008A6A2D"/>
    <w:rsid w:val="008A6A62"/>
    <w:rsid w:val="008A72AE"/>
    <w:rsid w:val="008A7332"/>
    <w:rsid w:val="008A7933"/>
    <w:rsid w:val="008A7A1D"/>
    <w:rsid w:val="008B0138"/>
    <w:rsid w:val="008B031B"/>
    <w:rsid w:val="008B0472"/>
    <w:rsid w:val="008B0F2E"/>
    <w:rsid w:val="008B3FB5"/>
    <w:rsid w:val="008B5583"/>
    <w:rsid w:val="008B5D52"/>
    <w:rsid w:val="008B6187"/>
    <w:rsid w:val="008B67B1"/>
    <w:rsid w:val="008B6B09"/>
    <w:rsid w:val="008C0570"/>
    <w:rsid w:val="008C0A1A"/>
    <w:rsid w:val="008C0D0B"/>
    <w:rsid w:val="008C2E07"/>
    <w:rsid w:val="008C3521"/>
    <w:rsid w:val="008C3893"/>
    <w:rsid w:val="008C4FE8"/>
    <w:rsid w:val="008C53DE"/>
    <w:rsid w:val="008C6276"/>
    <w:rsid w:val="008C6569"/>
    <w:rsid w:val="008C658D"/>
    <w:rsid w:val="008C6D26"/>
    <w:rsid w:val="008C7FA1"/>
    <w:rsid w:val="008D0120"/>
    <w:rsid w:val="008D0DF9"/>
    <w:rsid w:val="008D0FBA"/>
    <w:rsid w:val="008D1467"/>
    <w:rsid w:val="008D1630"/>
    <w:rsid w:val="008D1E9F"/>
    <w:rsid w:val="008D21D5"/>
    <w:rsid w:val="008D2AA5"/>
    <w:rsid w:val="008D2AB2"/>
    <w:rsid w:val="008D313C"/>
    <w:rsid w:val="008D3DED"/>
    <w:rsid w:val="008D4246"/>
    <w:rsid w:val="008D42BE"/>
    <w:rsid w:val="008D4830"/>
    <w:rsid w:val="008D588B"/>
    <w:rsid w:val="008D5A96"/>
    <w:rsid w:val="008D6101"/>
    <w:rsid w:val="008D64CD"/>
    <w:rsid w:val="008D6B31"/>
    <w:rsid w:val="008D731A"/>
    <w:rsid w:val="008D7EBD"/>
    <w:rsid w:val="008E1B46"/>
    <w:rsid w:val="008E1FD6"/>
    <w:rsid w:val="008E24FA"/>
    <w:rsid w:val="008E3DD4"/>
    <w:rsid w:val="008E4475"/>
    <w:rsid w:val="008E4DC8"/>
    <w:rsid w:val="008E6D46"/>
    <w:rsid w:val="008E7866"/>
    <w:rsid w:val="008E7EC1"/>
    <w:rsid w:val="008F0C3C"/>
    <w:rsid w:val="008F0CE3"/>
    <w:rsid w:val="008F1BC2"/>
    <w:rsid w:val="008F1D33"/>
    <w:rsid w:val="008F28C1"/>
    <w:rsid w:val="008F46CF"/>
    <w:rsid w:val="008F4736"/>
    <w:rsid w:val="008F56F7"/>
    <w:rsid w:val="008F56FD"/>
    <w:rsid w:val="008F5B0F"/>
    <w:rsid w:val="008F616E"/>
    <w:rsid w:val="008F6931"/>
    <w:rsid w:val="008F712A"/>
    <w:rsid w:val="008F73F5"/>
    <w:rsid w:val="008F764B"/>
    <w:rsid w:val="008F7B3A"/>
    <w:rsid w:val="00900B47"/>
    <w:rsid w:val="00900F39"/>
    <w:rsid w:val="00901641"/>
    <w:rsid w:val="00901F63"/>
    <w:rsid w:val="009025CE"/>
    <w:rsid w:val="0090265A"/>
    <w:rsid w:val="00902CA6"/>
    <w:rsid w:val="00903314"/>
    <w:rsid w:val="00903FA9"/>
    <w:rsid w:val="009040DE"/>
    <w:rsid w:val="00905CAA"/>
    <w:rsid w:val="00907669"/>
    <w:rsid w:val="00910538"/>
    <w:rsid w:val="00910ADA"/>
    <w:rsid w:val="009113B2"/>
    <w:rsid w:val="00911E79"/>
    <w:rsid w:val="00912428"/>
    <w:rsid w:val="00912FC1"/>
    <w:rsid w:val="0091375E"/>
    <w:rsid w:val="009140E3"/>
    <w:rsid w:val="00914140"/>
    <w:rsid w:val="00914886"/>
    <w:rsid w:val="00915B9D"/>
    <w:rsid w:val="00915CCA"/>
    <w:rsid w:val="009169C1"/>
    <w:rsid w:val="009174B4"/>
    <w:rsid w:val="00920D4D"/>
    <w:rsid w:val="0092174C"/>
    <w:rsid w:val="00921EFF"/>
    <w:rsid w:val="00923F55"/>
    <w:rsid w:val="00924C05"/>
    <w:rsid w:val="00926C72"/>
    <w:rsid w:val="00927220"/>
    <w:rsid w:val="00927713"/>
    <w:rsid w:val="00927781"/>
    <w:rsid w:val="009279A2"/>
    <w:rsid w:val="009304B5"/>
    <w:rsid w:val="00930D71"/>
    <w:rsid w:val="009314E8"/>
    <w:rsid w:val="00931E5A"/>
    <w:rsid w:val="00932536"/>
    <w:rsid w:val="009348DF"/>
    <w:rsid w:val="00934936"/>
    <w:rsid w:val="00934954"/>
    <w:rsid w:val="009352D1"/>
    <w:rsid w:val="00935E28"/>
    <w:rsid w:val="00937565"/>
    <w:rsid w:val="00937D1E"/>
    <w:rsid w:val="00937D76"/>
    <w:rsid w:val="009408F6"/>
    <w:rsid w:val="00940D21"/>
    <w:rsid w:val="009413F4"/>
    <w:rsid w:val="009427DC"/>
    <w:rsid w:val="00942887"/>
    <w:rsid w:val="00942FA2"/>
    <w:rsid w:val="00943366"/>
    <w:rsid w:val="0094343D"/>
    <w:rsid w:val="00943685"/>
    <w:rsid w:val="00943C9C"/>
    <w:rsid w:val="0094467B"/>
    <w:rsid w:val="00944B5A"/>
    <w:rsid w:val="00944FE6"/>
    <w:rsid w:val="0094567B"/>
    <w:rsid w:val="00945D86"/>
    <w:rsid w:val="00945F4B"/>
    <w:rsid w:val="00946582"/>
    <w:rsid w:val="00946B0C"/>
    <w:rsid w:val="00946C56"/>
    <w:rsid w:val="00946F63"/>
    <w:rsid w:val="0094722A"/>
    <w:rsid w:val="00947EF6"/>
    <w:rsid w:val="009504E4"/>
    <w:rsid w:val="009550B2"/>
    <w:rsid w:val="0095515F"/>
    <w:rsid w:val="00955BB4"/>
    <w:rsid w:val="009564D5"/>
    <w:rsid w:val="00957154"/>
    <w:rsid w:val="00961D2D"/>
    <w:rsid w:val="00961D8F"/>
    <w:rsid w:val="00961F17"/>
    <w:rsid w:val="009628F5"/>
    <w:rsid w:val="00962A5D"/>
    <w:rsid w:val="00963337"/>
    <w:rsid w:val="00964264"/>
    <w:rsid w:val="009642EA"/>
    <w:rsid w:val="0096461C"/>
    <w:rsid w:val="00964794"/>
    <w:rsid w:val="00964EC0"/>
    <w:rsid w:val="0096613C"/>
    <w:rsid w:val="009663D7"/>
    <w:rsid w:val="00966ABB"/>
    <w:rsid w:val="009677B5"/>
    <w:rsid w:val="009707E6"/>
    <w:rsid w:val="00971737"/>
    <w:rsid w:val="00971CE1"/>
    <w:rsid w:val="00971F7C"/>
    <w:rsid w:val="0097206C"/>
    <w:rsid w:val="00972084"/>
    <w:rsid w:val="0097251E"/>
    <w:rsid w:val="00972557"/>
    <w:rsid w:val="00972991"/>
    <w:rsid w:val="009729B9"/>
    <w:rsid w:val="00973199"/>
    <w:rsid w:val="00973344"/>
    <w:rsid w:val="00973802"/>
    <w:rsid w:val="00973C21"/>
    <w:rsid w:val="00974048"/>
    <w:rsid w:val="009752A7"/>
    <w:rsid w:val="009758DE"/>
    <w:rsid w:val="00975A3C"/>
    <w:rsid w:val="0097659A"/>
    <w:rsid w:val="00976658"/>
    <w:rsid w:val="00977793"/>
    <w:rsid w:val="009777C7"/>
    <w:rsid w:val="00977B46"/>
    <w:rsid w:val="009807CB"/>
    <w:rsid w:val="00981889"/>
    <w:rsid w:val="009826AA"/>
    <w:rsid w:val="009834A4"/>
    <w:rsid w:val="0098454B"/>
    <w:rsid w:val="0098492B"/>
    <w:rsid w:val="00984B7B"/>
    <w:rsid w:val="0098692F"/>
    <w:rsid w:val="00990109"/>
    <w:rsid w:val="009905A9"/>
    <w:rsid w:val="00990948"/>
    <w:rsid w:val="00990B6D"/>
    <w:rsid w:val="00992A54"/>
    <w:rsid w:val="00993999"/>
    <w:rsid w:val="00993B71"/>
    <w:rsid w:val="00995163"/>
    <w:rsid w:val="00995227"/>
    <w:rsid w:val="00995859"/>
    <w:rsid w:val="00995E2F"/>
    <w:rsid w:val="0099612A"/>
    <w:rsid w:val="00997176"/>
    <w:rsid w:val="009971F9"/>
    <w:rsid w:val="009973D7"/>
    <w:rsid w:val="00997540"/>
    <w:rsid w:val="009A06B7"/>
    <w:rsid w:val="009A1ED1"/>
    <w:rsid w:val="009A2531"/>
    <w:rsid w:val="009A30CC"/>
    <w:rsid w:val="009A38A3"/>
    <w:rsid w:val="009A38CA"/>
    <w:rsid w:val="009A49D9"/>
    <w:rsid w:val="009A55F5"/>
    <w:rsid w:val="009A5832"/>
    <w:rsid w:val="009A5EAA"/>
    <w:rsid w:val="009A6009"/>
    <w:rsid w:val="009A73A5"/>
    <w:rsid w:val="009A7695"/>
    <w:rsid w:val="009A7EC1"/>
    <w:rsid w:val="009B01C7"/>
    <w:rsid w:val="009B0264"/>
    <w:rsid w:val="009B0382"/>
    <w:rsid w:val="009B20EF"/>
    <w:rsid w:val="009B2D81"/>
    <w:rsid w:val="009B3647"/>
    <w:rsid w:val="009B3A75"/>
    <w:rsid w:val="009B3EDA"/>
    <w:rsid w:val="009B450E"/>
    <w:rsid w:val="009B4A5F"/>
    <w:rsid w:val="009B5979"/>
    <w:rsid w:val="009B7637"/>
    <w:rsid w:val="009B77AA"/>
    <w:rsid w:val="009B79BC"/>
    <w:rsid w:val="009B7C03"/>
    <w:rsid w:val="009B7F4A"/>
    <w:rsid w:val="009C01CB"/>
    <w:rsid w:val="009C034B"/>
    <w:rsid w:val="009C0AF2"/>
    <w:rsid w:val="009C1013"/>
    <w:rsid w:val="009C36DB"/>
    <w:rsid w:val="009C4C2B"/>
    <w:rsid w:val="009C6E2E"/>
    <w:rsid w:val="009D218A"/>
    <w:rsid w:val="009D269E"/>
    <w:rsid w:val="009D298D"/>
    <w:rsid w:val="009D3247"/>
    <w:rsid w:val="009D3449"/>
    <w:rsid w:val="009D34B8"/>
    <w:rsid w:val="009D41D8"/>
    <w:rsid w:val="009D49EC"/>
    <w:rsid w:val="009D5846"/>
    <w:rsid w:val="009D5B94"/>
    <w:rsid w:val="009D6417"/>
    <w:rsid w:val="009D7048"/>
    <w:rsid w:val="009D70CD"/>
    <w:rsid w:val="009D73BF"/>
    <w:rsid w:val="009D75DF"/>
    <w:rsid w:val="009D77D7"/>
    <w:rsid w:val="009E022B"/>
    <w:rsid w:val="009E16E9"/>
    <w:rsid w:val="009E1A30"/>
    <w:rsid w:val="009E3DCD"/>
    <w:rsid w:val="009E41B2"/>
    <w:rsid w:val="009E43CA"/>
    <w:rsid w:val="009E50FB"/>
    <w:rsid w:val="009E53C5"/>
    <w:rsid w:val="009E5FC3"/>
    <w:rsid w:val="009E686A"/>
    <w:rsid w:val="009E7047"/>
    <w:rsid w:val="009E7143"/>
    <w:rsid w:val="009E7304"/>
    <w:rsid w:val="009E73B7"/>
    <w:rsid w:val="009E7A02"/>
    <w:rsid w:val="009E7DA2"/>
    <w:rsid w:val="009F0482"/>
    <w:rsid w:val="009F0486"/>
    <w:rsid w:val="009F04F3"/>
    <w:rsid w:val="009F0513"/>
    <w:rsid w:val="009F09EE"/>
    <w:rsid w:val="009F1E9C"/>
    <w:rsid w:val="009F2B26"/>
    <w:rsid w:val="009F32B9"/>
    <w:rsid w:val="009F363E"/>
    <w:rsid w:val="009F47BB"/>
    <w:rsid w:val="009F7118"/>
    <w:rsid w:val="009F7D0F"/>
    <w:rsid w:val="009F7F3A"/>
    <w:rsid w:val="00A01D23"/>
    <w:rsid w:val="00A02742"/>
    <w:rsid w:val="00A02C83"/>
    <w:rsid w:val="00A063FD"/>
    <w:rsid w:val="00A06636"/>
    <w:rsid w:val="00A06A5F"/>
    <w:rsid w:val="00A0727C"/>
    <w:rsid w:val="00A07507"/>
    <w:rsid w:val="00A078C4"/>
    <w:rsid w:val="00A10687"/>
    <w:rsid w:val="00A113AB"/>
    <w:rsid w:val="00A11DB0"/>
    <w:rsid w:val="00A12267"/>
    <w:rsid w:val="00A12519"/>
    <w:rsid w:val="00A13EF0"/>
    <w:rsid w:val="00A141E9"/>
    <w:rsid w:val="00A143A2"/>
    <w:rsid w:val="00A144F8"/>
    <w:rsid w:val="00A145AA"/>
    <w:rsid w:val="00A14753"/>
    <w:rsid w:val="00A1663B"/>
    <w:rsid w:val="00A2012A"/>
    <w:rsid w:val="00A2065B"/>
    <w:rsid w:val="00A20E29"/>
    <w:rsid w:val="00A2173D"/>
    <w:rsid w:val="00A2228E"/>
    <w:rsid w:val="00A22309"/>
    <w:rsid w:val="00A229EE"/>
    <w:rsid w:val="00A23CEA"/>
    <w:rsid w:val="00A256D5"/>
    <w:rsid w:val="00A2623A"/>
    <w:rsid w:val="00A26E0B"/>
    <w:rsid w:val="00A2768A"/>
    <w:rsid w:val="00A276B4"/>
    <w:rsid w:val="00A27AD5"/>
    <w:rsid w:val="00A303A2"/>
    <w:rsid w:val="00A30C81"/>
    <w:rsid w:val="00A311E8"/>
    <w:rsid w:val="00A32FFB"/>
    <w:rsid w:val="00A34126"/>
    <w:rsid w:val="00A344F0"/>
    <w:rsid w:val="00A357F1"/>
    <w:rsid w:val="00A35C5C"/>
    <w:rsid w:val="00A36847"/>
    <w:rsid w:val="00A402C8"/>
    <w:rsid w:val="00A40A06"/>
    <w:rsid w:val="00A41748"/>
    <w:rsid w:val="00A418D2"/>
    <w:rsid w:val="00A429EE"/>
    <w:rsid w:val="00A431C8"/>
    <w:rsid w:val="00A43852"/>
    <w:rsid w:val="00A438B2"/>
    <w:rsid w:val="00A4435B"/>
    <w:rsid w:val="00A44BD1"/>
    <w:rsid w:val="00A454BF"/>
    <w:rsid w:val="00A46873"/>
    <w:rsid w:val="00A468C4"/>
    <w:rsid w:val="00A50E87"/>
    <w:rsid w:val="00A5148F"/>
    <w:rsid w:val="00A51733"/>
    <w:rsid w:val="00A51ADE"/>
    <w:rsid w:val="00A51CB5"/>
    <w:rsid w:val="00A51CE6"/>
    <w:rsid w:val="00A51F0E"/>
    <w:rsid w:val="00A52AC8"/>
    <w:rsid w:val="00A53817"/>
    <w:rsid w:val="00A53A1F"/>
    <w:rsid w:val="00A54108"/>
    <w:rsid w:val="00A54823"/>
    <w:rsid w:val="00A549CF"/>
    <w:rsid w:val="00A54FCA"/>
    <w:rsid w:val="00A55072"/>
    <w:rsid w:val="00A55361"/>
    <w:rsid w:val="00A560F1"/>
    <w:rsid w:val="00A5655E"/>
    <w:rsid w:val="00A57646"/>
    <w:rsid w:val="00A604DD"/>
    <w:rsid w:val="00A605FB"/>
    <w:rsid w:val="00A609F9"/>
    <w:rsid w:val="00A60B98"/>
    <w:rsid w:val="00A61941"/>
    <w:rsid w:val="00A61B90"/>
    <w:rsid w:val="00A61D40"/>
    <w:rsid w:val="00A62066"/>
    <w:rsid w:val="00A63A3C"/>
    <w:rsid w:val="00A6426F"/>
    <w:rsid w:val="00A64406"/>
    <w:rsid w:val="00A6461F"/>
    <w:rsid w:val="00A646A3"/>
    <w:rsid w:val="00A648C3"/>
    <w:rsid w:val="00A6516A"/>
    <w:rsid w:val="00A65E27"/>
    <w:rsid w:val="00A66910"/>
    <w:rsid w:val="00A66E93"/>
    <w:rsid w:val="00A674E4"/>
    <w:rsid w:val="00A677A9"/>
    <w:rsid w:val="00A6797A"/>
    <w:rsid w:val="00A67AEF"/>
    <w:rsid w:val="00A67E80"/>
    <w:rsid w:val="00A67ED4"/>
    <w:rsid w:val="00A71EDA"/>
    <w:rsid w:val="00A71F17"/>
    <w:rsid w:val="00A71FB5"/>
    <w:rsid w:val="00A734AB"/>
    <w:rsid w:val="00A73AE9"/>
    <w:rsid w:val="00A748D8"/>
    <w:rsid w:val="00A74AF8"/>
    <w:rsid w:val="00A756CE"/>
    <w:rsid w:val="00A76186"/>
    <w:rsid w:val="00A778E4"/>
    <w:rsid w:val="00A806C7"/>
    <w:rsid w:val="00A808FE"/>
    <w:rsid w:val="00A80984"/>
    <w:rsid w:val="00A82041"/>
    <w:rsid w:val="00A82F37"/>
    <w:rsid w:val="00A8316C"/>
    <w:rsid w:val="00A83302"/>
    <w:rsid w:val="00A83409"/>
    <w:rsid w:val="00A84171"/>
    <w:rsid w:val="00A856E0"/>
    <w:rsid w:val="00A85F4B"/>
    <w:rsid w:val="00A8690C"/>
    <w:rsid w:val="00A86E06"/>
    <w:rsid w:val="00A8731C"/>
    <w:rsid w:val="00A87794"/>
    <w:rsid w:val="00A87CBF"/>
    <w:rsid w:val="00A90281"/>
    <w:rsid w:val="00A92251"/>
    <w:rsid w:val="00A97197"/>
    <w:rsid w:val="00AA0BF0"/>
    <w:rsid w:val="00AA12BE"/>
    <w:rsid w:val="00AA1D3D"/>
    <w:rsid w:val="00AA3ABA"/>
    <w:rsid w:val="00AA5429"/>
    <w:rsid w:val="00AA59BE"/>
    <w:rsid w:val="00AA5AFE"/>
    <w:rsid w:val="00AA63EF"/>
    <w:rsid w:val="00AA73AC"/>
    <w:rsid w:val="00AA7778"/>
    <w:rsid w:val="00AA78A3"/>
    <w:rsid w:val="00AA7BCD"/>
    <w:rsid w:val="00AB052F"/>
    <w:rsid w:val="00AB0D8A"/>
    <w:rsid w:val="00AB1661"/>
    <w:rsid w:val="00AB2D03"/>
    <w:rsid w:val="00AB34A1"/>
    <w:rsid w:val="00AB37E6"/>
    <w:rsid w:val="00AB3D00"/>
    <w:rsid w:val="00AB4E36"/>
    <w:rsid w:val="00AB5157"/>
    <w:rsid w:val="00AB5503"/>
    <w:rsid w:val="00AB5AE3"/>
    <w:rsid w:val="00AB5BF2"/>
    <w:rsid w:val="00AB62C2"/>
    <w:rsid w:val="00AB6DE3"/>
    <w:rsid w:val="00AB7496"/>
    <w:rsid w:val="00AB74F0"/>
    <w:rsid w:val="00AC1AD2"/>
    <w:rsid w:val="00AC226E"/>
    <w:rsid w:val="00AC238E"/>
    <w:rsid w:val="00AC36B8"/>
    <w:rsid w:val="00AC45AC"/>
    <w:rsid w:val="00AC48BE"/>
    <w:rsid w:val="00AC48E0"/>
    <w:rsid w:val="00AC4C39"/>
    <w:rsid w:val="00AC4E0C"/>
    <w:rsid w:val="00AC537C"/>
    <w:rsid w:val="00AC69DA"/>
    <w:rsid w:val="00AC7D08"/>
    <w:rsid w:val="00AD0465"/>
    <w:rsid w:val="00AD0600"/>
    <w:rsid w:val="00AD0680"/>
    <w:rsid w:val="00AD113D"/>
    <w:rsid w:val="00AD16C2"/>
    <w:rsid w:val="00AD1759"/>
    <w:rsid w:val="00AD1910"/>
    <w:rsid w:val="00AD2AEA"/>
    <w:rsid w:val="00AD2CE1"/>
    <w:rsid w:val="00AD341F"/>
    <w:rsid w:val="00AD36FE"/>
    <w:rsid w:val="00AD4600"/>
    <w:rsid w:val="00AD4F64"/>
    <w:rsid w:val="00AD57B1"/>
    <w:rsid w:val="00AD5900"/>
    <w:rsid w:val="00AD5AF7"/>
    <w:rsid w:val="00AD5B2A"/>
    <w:rsid w:val="00AD625A"/>
    <w:rsid w:val="00AD644D"/>
    <w:rsid w:val="00AD6C30"/>
    <w:rsid w:val="00AD6DCC"/>
    <w:rsid w:val="00AD76C8"/>
    <w:rsid w:val="00AD7899"/>
    <w:rsid w:val="00AE12C0"/>
    <w:rsid w:val="00AE13A7"/>
    <w:rsid w:val="00AE14FB"/>
    <w:rsid w:val="00AE15BF"/>
    <w:rsid w:val="00AE1870"/>
    <w:rsid w:val="00AE1F46"/>
    <w:rsid w:val="00AE2065"/>
    <w:rsid w:val="00AE3286"/>
    <w:rsid w:val="00AE3433"/>
    <w:rsid w:val="00AE4421"/>
    <w:rsid w:val="00AE458D"/>
    <w:rsid w:val="00AE5F73"/>
    <w:rsid w:val="00AE6C23"/>
    <w:rsid w:val="00AE6EAB"/>
    <w:rsid w:val="00AE6F05"/>
    <w:rsid w:val="00AE749B"/>
    <w:rsid w:val="00AE785A"/>
    <w:rsid w:val="00AF0639"/>
    <w:rsid w:val="00AF07D5"/>
    <w:rsid w:val="00AF0A8B"/>
    <w:rsid w:val="00AF0B06"/>
    <w:rsid w:val="00AF0D64"/>
    <w:rsid w:val="00AF1778"/>
    <w:rsid w:val="00AF187F"/>
    <w:rsid w:val="00AF28C1"/>
    <w:rsid w:val="00AF2BEB"/>
    <w:rsid w:val="00AF3EE1"/>
    <w:rsid w:val="00AF43FE"/>
    <w:rsid w:val="00AF4C1F"/>
    <w:rsid w:val="00AF4FC9"/>
    <w:rsid w:val="00AF5227"/>
    <w:rsid w:val="00AF5CA4"/>
    <w:rsid w:val="00AF61BA"/>
    <w:rsid w:val="00AF7014"/>
    <w:rsid w:val="00B011F8"/>
    <w:rsid w:val="00B015AF"/>
    <w:rsid w:val="00B01BB8"/>
    <w:rsid w:val="00B02449"/>
    <w:rsid w:val="00B04274"/>
    <w:rsid w:val="00B046C8"/>
    <w:rsid w:val="00B0589C"/>
    <w:rsid w:val="00B06358"/>
    <w:rsid w:val="00B07A5E"/>
    <w:rsid w:val="00B07CBC"/>
    <w:rsid w:val="00B07CFB"/>
    <w:rsid w:val="00B10CBA"/>
    <w:rsid w:val="00B10E22"/>
    <w:rsid w:val="00B10E3B"/>
    <w:rsid w:val="00B11060"/>
    <w:rsid w:val="00B11616"/>
    <w:rsid w:val="00B11656"/>
    <w:rsid w:val="00B11B0E"/>
    <w:rsid w:val="00B13256"/>
    <w:rsid w:val="00B14202"/>
    <w:rsid w:val="00B1543A"/>
    <w:rsid w:val="00B16523"/>
    <w:rsid w:val="00B16569"/>
    <w:rsid w:val="00B1752A"/>
    <w:rsid w:val="00B208F3"/>
    <w:rsid w:val="00B20ADF"/>
    <w:rsid w:val="00B20BF3"/>
    <w:rsid w:val="00B210E7"/>
    <w:rsid w:val="00B21C65"/>
    <w:rsid w:val="00B22F0F"/>
    <w:rsid w:val="00B234D4"/>
    <w:rsid w:val="00B239DB"/>
    <w:rsid w:val="00B23EF8"/>
    <w:rsid w:val="00B24174"/>
    <w:rsid w:val="00B246DB"/>
    <w:rsid w:val="00B24C60"/>
    <w:rsid w:val="00B250E4"/>
    <w:rsid w:val="00B27E30"/>
    <w:rsid w:val="00B319A4"/>
    <w:rsid w:val="00B319E7"/>
    <w:rsid w:val="00B31CA3"/>
    <w:rsid w:val="00B322DF"/>
    <w:rsid w:val="00B3289B"/>
    <w:rsid w:val="00B33225"/>
    <w:rsid w:val="00B33616"/>
    <w:rsid w:val="00B33684"/>
    <w:rsid w:val="00B34441"/>
    <w:rsid w:val="00B34E7F"/>
    <w:rsid w:val="00B34F59"/>
    <w:rsid w:val="00B35653"/>
    <w:rsid w:val="00B35AC9"/>
    <w:rsid w:val="00B36620"/>
    <w:rsid w:val="00B36F6A"/>
    <w:rsid w:val="00B37457"/>
    <w:rsid w:val="00B3798B"/>
    <w:rsid w:val="00B37C00"/>
    <w:rsid w:val="00B414CB"/>
    <w:rsid w:val="00B4172D"/>
    <w:rsid w:val="00B417FE"/>
    <w:rsid w:val="00B41A52"/>
    <w:rsid w:val="00B41A5F"/>
    <w:rsid w:val="00B41A9D"/>
    <w:rsid w:val="00B41D1E"/>
    <w:rsid w:val="00B41FEC"/>
    <w:rsid w:val="00B43041"/>
    <w:rsid w:val="00B447FA"/>
    <w:rsid w:val="00B44C25"/>
    <w:rsid w:val="00B4549E"/>
    <w:rsid w:val="00B45506"/>
    <w:rsid w:val="00B45A31"/>
    <w:rsid w:val="00B46044"/>
    <w:rsid w:val="00B473C8"/>
    <w:rsid w:val="00B5046B"/>
    <w:rsid w:val="00B50993"/>
    <w:rsid w:val="00B52A58"/>
    <w:rsid w:val="00B55450"/>
    <w:rsid w:val="00B56006"/>
    <w:rsid w:val="00B5714D"/>
    <w:rsid w:val="00B605C6"/>
    <w:rsid w:val="00B6060F"/>
    <w:rsid w:val="00B60E0F"/>
    <w:rsid w:val="00B60FEA"/>
    <w:rsid w:val="00B616A1"/>
    <w:rsid w:val="00B625C7"/>
    <w:rsid w:val="00B62911"/>
    <w:rsid w:val="00B62BEE"/>
    <w:rsid w:val="00B62E40"/>
    <w:rsid w:val="00B6321D"/>
    <w:rsid w:val="00B6333D"/>
    <w:rsid w:val="00B63517"/>
    <w:rsid w:val="00B63940"/>
    <w:rsid w:val="00B63988"/>
    <w:rsid w:val="00B63AF8"/>
    <w:rsid w:val="00B63C1B"/>
    <w:rsid w:val="00B64584"/>
    <w:rsid w:val="00B65DE5"/>
    <w:rsid w:val="00B6621C"/>
    <w:rsid w:val="00B6637E"/>
    <w:rsid w:val="00B66B58"/>
    <w:rsid w:val="00B66F57"/>
    <w:rsid w:val="00B67D72"/>
    <w:rsid w:val="00B706E7"/>
    <w:rsid w:val="00B7097E"/>
    <w:rsid w:val="00B71D1C"/>
    <w:rsid w:val="00B72788"/>
    <w:rsid w:val="00B72F12"/>
    <w:rsid w:val="00B734D1"/>
    <w:rsid w:val="00B75565"/>
    <w:rsid w:val="00B7597E"/>
    <w:rsid w:val="00B75EAB"/>
    <w:rsid w:val="00B761DF"/>
    <w:rsid w:val="00B76E8A"/>
    <w:rsid w:val="00B772D0"/>
    <w:rsid w:val="00B80AB2"/>
    <w:rsid w:val="00B80F06"/>
    <w:rsid w:val="00B80F42"/>
    <w:rsid w:val="00B8251B"/>
    <w:rsid w:val="00B83314"/>
    <w:rsid w:val="00B83328"/>
    <w:rsid w:val="00B83C47"/>
    <w:rsid w:val="00B85A67"/>
    <w:rsid w:val="00B85D5B"/>
    <w:rsid w:val="00B85EC5"/>
    <w:rsid w:val="00B85F02"/>
    <w:rsid w:val="00B91976"/>
    <w:rsid w:val="00B92249"/>
    <w:rsid w:val="00B923F0"/>
    <w:rsid w:val="00B92FF7"/>
    <w:rsid w:val="00B93821"/>
    <w:rsid w:val="00B93C6E"/>
    <w:rsid w:val="00B93DD7"/>
    <w:rsid w:val="00B93F22"/>
    <w:rsid w:val="00B94536"/>
    <w:rsid w:val="00B9470E"/>
    <w:rsid w:val="00B94B05"/>
    <w:rsid w:val="00B9525E"/>
    <w:rsid w:val="00B9649D"/>
    <w:rsid w:val="00B9696B"/>
    <w:rsid w:val="00B96B92"/>
    <w:rsid w:val="00B97EFF"/>
    <w:rsid w:val="00BA0297"/>
    <w:rsid w:val="00BA060E"/>
    <w:rsid w:val="00BA0D14"/>
    <w:rsid w:val="00BA0DBA"/>
    <w:rsid w:val="00BA1172"/>
    <w:rsid w:val="00BA141C"/>
    <w:rsid w:val="00BA21B1"/>
    <w:rsid w:val="00BA2212"/>
    <w:rsid w:val="00BA344C"/>
    <w:rsid w:val="00BA367B"/>
    <w:rsid w:val="00BA4580"/>
    <w:rsid w:val="00BA592F"/>
    <w:rsid w:val="00BA5DE6"/>
    <w:rsid w:val="00BA5E2E"/>
    <w:rsid w:val="00BA65A6"/>
    <w:rsid w:val="00BA683F"/>
    <w:rsid w:val="00BB17A4"/>
    <w:rsid w:val="00BB2298"/>
    <w:rsid w:val="00BB4370"/>
    <w:rsid w:val="00BB478F"/>
    <w:rsid w:val="00BB5039"/>
    <w:rsid w:val="00BB5413"/>
    <w:rsid w:val="00BB553B"/>
    <w:rsid w:val="00BB7B5A"/>
    <w:rsid w:val="00BC09BE"/>
    <w:rsid w:val="00BC09E3"/>
    <w:rsid w:val="00BC0C4E"/>
    <w:rsid w:val="00BC1DDD"/>
    <w:rsid w:val="00BC260A"/>
    <w:rsid w:val="00BC2FE2"/>
    <w:rsid w:val="00BC37C4"/>
    <w:rsid w:val="00BC43FB"/>
    <w:rsid w:val="00BC47F7"/>
    <w:rsid w:val="00BC4EB7"/>
    <w:rsid w:val="00BC4ECA"/>
    <w:rsid w:val="00BC52D7"/>
    <w:rsid w:val="00BC53EF"/>
    <w:rsid w:val="00BC5D4D"/>
    <w:rsid w:val="00BC5F1E"/>
    <w:rsid w:val="00BC6DCA"/>
    <w:rsid w:val="00BC7876"/>
    <w:rsid w:val="00BC7917"/>
    <w:rsid w:val="00BC7C30"/>
    <w:rsid w:val="00BC7E05"/>
    <w:rsid w:val="00BD011C"/>
    <w:rsid w:val="00BD03C7"/>
    <w:rsid w:val="00BD0B2F"/>
    <w:rsid w:val="00BD1A0A"/>
    <w:rsid w:val="00BD222B"/>
    <w:rsid w:val="00BD24D9"/>
    <w:rsid w:val="00BD4FD7"/>
    <w:rsid w:val="00BD4FE9"/>
    <w:rsid w:val="00BD55BA"/>
    <w:rsid w:val="00BD639F"/>
    <w:rsid w:val="00BD7C16"/>
    <w:rsid w:val="00BE0090"/>
    <w:rsid w:val="00BE01A8"/>
    <w:rsid w:val="00BE0844"/>
    <w:rsid w:val="00BE1015"/>
    <w:rsid w:val="00BE1066"/>
    <w:rsid w:val="00BE12D8"/>
    <w:rsid w:val="00BE1388"/>
    <w:rsid w:val="00BE24DB"/>
    <w:rsid w:val="00BE4633"/>
    <w:rsid w:val="00BE4702"/>
    <w:rsid w:val="00BE5196"/>
    <w:rsid w:val="00BE5E9D"/>
    <w:rsid w:val="00BE6BD3"/>
    <w:rsid w:val="00BE6D62"/>
    <w:rsid w:val="00BE7103"/>
    <w:rsid w:val="00BE7128"/>
    <w:rsid w:val="00BE73D8"/>
    <w:rsid w:val="00BE747D"/>
    <w:rsid w:val="00BE7509"/>
    <w:rsid w:val="00BE7AB4"/>
    <w:rsid w:val="00BE7B9E"/>
    <w:rsid w:val="00BF02F1"/>
    <w:rsid w:val="00BF077A"/>
    <w:rsid w:val="00BF141F"/>
    <w:rsid w:val="00BF1F52"/>
    <w:rsid w:val="00BF3088"/>
    <w:rsid w:val="00BF38D1"/>
    <w:rsid w:val="00BF3F4C"/>
    <w:rsid w:val="00BF40FB"/>
    <w:rsid w:val="00BF517E"/>
    <w:rsid w:val="00BF57C8"/>
    <w:rsid w:val="00BF5BDF"/>
    <w:rsid w:val="00BF602C"/>
    <w:rsid w:val="00BF63C2"/>
    <w:rsid w:val="00BF64CA"/>
    <w:rsid w:val="00BF7521"/>
    <w:rsid w:val="00BF777C"/>
    <w:rsid w:val="00BF7ABB"/>
    <w:rsid w:val="00C00277"/>
    <w:rsid w:val="00C010EB"/>
    <w:rsid w:val="00C015C3"/>
    <w:rsid w:val="00C01E76"/>
    <w:rsid w:val="00C02C60"/>
    <w:rsid w:val="00C02C64"/>
    <w:rsid w:val="00C03217"/>
    <w:rsid w:val="00C034FC"/>
    <w:rsid w:val="00C037FF"/>
    <w:rsid w:val="00C03B53"/>
    <w:rsid w:val="00C044CA"/>
    <w:rsid w:val="00C047F9"/>
    <w:rsid w:val="00C0537D"/>
    <w:rsid w:val="00C05394"/>
    <w:rsid w:val="00C07B65"/>
    <w:rsid w:val="00C07E35"/>
    <w:rsid w:val="00C10261"/>
    <w:rsid w:val="00C108DB"/>
    <w:rsid w:val="00C10A22"/>
    <w:rsid w:val="00C10BD3"/>
    <w:rsid w:val="00C110D6"/>
    <w:rsid w:val="00C11270"/>
    <w:rsid w:val="00C112CB"/>
    <w:rsid w:val="00C1170B"/>
    <w:rsid w:val="00C11746"/>
    <w:rsid w:val="00C11D9F"/>
    <w:rsid w:val="00C11E55"/>
    <w:rsid w:val="00C130AC"/>
    <w:rsid w:val="00C1365F"/>
    <w:rsid w:val="00C138EE"/>
    <w:rsid w:val="00C13A8D"/>
    <w:rsid w:val="00C14033"/>
    <w:rsid w:val="00C14DA0"/>
    <w:rsid w:val="00C177A9"/>
    <w:rsid w:val="00C17C6F"/>
    <w:rsid w:val="00C2147F"/>
    <w:rsid w:val="00C22009"/>
    <w:rsid w:val="00C229A6"/>
    <w:rsid w:val="00C22E53"/>
    <w:rsid w:val="00C23342"/>
    <w:rsid w:val="00C23D9A"/>
    <w:rsid w:val="00C24CE1"/>
    <w:rsid w:val="00C24EA7"/>
    <w:rsid w:val="00C251AF"/>
    <w:rsid w:val="00C252BE"/>
    <w:rsid w:val="00C25A4F"/>
    <w:rsid w:val="00C25CB0"/>
    <w:rsid w:val="00C25FB9"/>
    <w:rsid w:val="00C27733"/>
    <w:rsid w:val="00C27E7C"/>
    <w:rsid w:val="00C30830"/>
    <w:rsid w:val="00C30CED"/>
    <w:rsid w:val="00C30E28"/>
    <w:rsid w:val="00C31995"/>
    <w:rsid w:val="00C31FBC"/>
    <w:rsid w:val="00C33191"/>
    <w:rsid w:val="00C33849"/>
    <w:rsid w:val="00C33E4D"/>
    <w:rsid w:val="00C33E6B"/>
    <w:rsid w:val="00C34368"/>
    <w:rsid w:val="00C34652"/>
    <w:rsid w:val="00C34EE0"/>
    <w:rsid w:val="00C34F3B"/>
    <w:rsid w:val="00C35D8F"/>
    <w:rsid w:val="00C36518"/>
    <w:rsid w:val="00C3659A"/>
    <w:rsid w:val="00C366F1"/>
    <w:rsid w:val="00C36B25"/>
    <w:rsid w:val="00C36C12"/>
    <w:rsid w:val="00C3700A"/>
    <w:rsid w:val="00C374B9"/>
    <w:rsid w:val="00C37C66"/>
    <w:rsid w:val="00C40748"/>
    <w:rsid w:val="00C41459"/>
    <w:rsid w:val="00C41498"/>
    <w:rsid w:val="00C41A3F"/>
    <w:rsid w:val="00C41D89"/>
    <w:rsid w:val="00C422F2"/>
    <w:rsid w:val="00C42379"/>
    <w:rsid w:val="00C433C6"/>
    <w:rsid w:val="00C44F18"/>
    <w:rsid w:val="00C46C94"/>
    <w:rsid w:val="00C5030D"/>
    <w:rsid w:val="00C50758"/>
    <w:rsid w:val="00C5103D"/>
    <w:rsid w:val="00C510C8"/>
    <w:rsid w:val="00C514B3"/>
    <w:rsid w:val="00C5185D"/>
    <w:rsid w:val="00C52B41"/>
    <w:rsid w:val="00C52E5F"/>
    <w:rsid w:val="00C52FDB"/>
    <w:rsid w:val="00C5368B"/>
    <w:rsid w:val="00C54A72"/>
    <w:rsid w:val="00C56922"/>
    <w:rsid w:val="00C578D0"/>
    <w:rsid w:val="00C60244"/>
    <w:rsid w:val="00C60291"/>
    <w:rsid w:val="00C6082D"/>
    <w:rsid w:val="00C61291"/>
    <w:rsid w:val="00C61CD0"/>
    <w:rsid w:val="00C621C2"/>
    <w:rsid w:val="00C624DB"/>
    <w:rsid w:val="00C62D46"/>
    <w:rsid w:val="00C63083"/>
    <w:rsid w:val="00C637AA"/>
    <w:rsid w:val="00C64355"/>
    <w:rsid w:val="00C664EE"/>
    <w:rsid w:val="00C665D6"/>
    <w:rsid w:val="00C67064"/>
    <w:rsid w:val="00C6712A"/>
    <w:rsid w:val="00C6748C"/>
    <w:rsid w:val="00C7134A"/>
    <w:rsid w:val="00C7291A"/>
    <w:rsid w:val="00C729B8"/>
    <w:rsid w:val="00C72D4D"/>
    <w:rsid w:val="00C73486"/>
    <w:rsid w:val="00C7368A"/>
    <w:rsid w:val="00C73E9A"/>
    <w:rsid w:val="00C7597D"/>
    <w:rsid w:val="00C75E1F"/>
    <w:rsid w:val="00C765D3"/>
    <w:rsid w:val="00C766FA"/>
    <w:rsid w:val="00C771D4"/>
    <w:rsid w:val="00C80687"/>
    <w:rsid w:val="00C80839"/>
    <w:rsid w:val="00C83003"/>
    <w:rsid w:val="00C83CDC"/>
    <w:rsid w:val="00C84DBB"/>
    <w:rsid w:val="00C85A72"/>
    <w:rsid w:val="00C865A5"/>
    <w:rsid w:val="00C87154"/>
    <w:rsid w:val="00C90967"/>
    <w:rsid w:val="00C90C4A"/>
    <w:rsid w:val="00C91130"/>
    <w:rsid w:val="00C917D0"/>
    <w:rsid w:val="00C9187B"/>
    <w:rsid w:val="00C92663"/>
    <w:rsid w:val="00C94CC9"/>
    <w:rsid w:val="00C94D1E"/>
    <w:rsid w:val="00C94ED8"/>
    <w:rsid w:val="00C94F96"/>
    <w:rsid w:val="00C96321"/>
    <w:rsid w:val="00C97A17"/>
    <w:rsid w:val="00C97DA3"/>
    <w:rsid w:val="00CA119E"/>
    <w:rsid w:val="00CA321F"/>
    <w:rsid w:val="00CA39D9"/>
    <w:rsid w:val="00CA3AB9"/>
    <w:rsid w:val="00CA4F15"/>
    <w:rsid w:val="00CA51E4"/>
    <w:rsid w:val="00CA548B"/>
    <w:rsid w:val="00CA6624"/>
    <w:rsid w:val="00CA6875"/>
    <w:rsid w:val="00CA6EDA"/>
    <w:rsid w:val="00CA6F5F"/>
    <w:rsid w:val="00CA787F"/>
    <w:rsid w:val="00CB0170"/>
    <w:rsid w:val="00CB22F2"/>
    <w:rsid w:val="00CB24C6"/>
    <w:rsid w:val="00CB3494"/>
    <w:rsid w:val="00CB3D45"/>
    <w:rsid w:val="00CB3E7D"/>
    <w:rsid w:val="00CB4336"/>
    <w:rsid w:val="00CB483B"/>
    <w:rsid w:val="00CB4D35"/>
    <w:rsid w:val="00CB5C07"/>
    <w:rsid w:val="00CB5C08"/>
    <w:rsid w:val="00CB63AF"/>
    <w:rsid w:val="00CB67F1"/>
    <w:rsid w:val="00CB7613"/>
    <w:rsid w:val="00CB79A8"/>
    <w:rsid w:val="00CB7FFB"/>
    <w:rsid w:val="00CC15AB"/>
    <w:rsid w:val="00CC1D81"/>
    <w:rsid w:val="00CC21FD"/>
    <w:rsid w:val="00CC26E8"/>
    <w:rsid w:val="00CC2A01"/>
    <w:rsid w:val="00CC3565"/>
    <w:rsid w:val="00CC3829"/>
    <w:rsid w:val="00CC3CA5"/>
    <w:rsid w:val="00CC4289"/>
    <w:rsid w:val="00CC5B28"/>
    <w:rsid w:val="00CC6AE4"/>
    <w:rsid w:val="00CC6E82"/>
    <w:rsid w:val="00CC7614"/>
    <w:rsid w:val="00CC7A7C"/>
    <w:rsid w:val="00CD056D"/>
    <w:rsid w:val="00CD07A8"/>
    <w:rsid w:val="00CD11A2"/>
    <w:rsid w:val="00CD2D65"/>
    <w:rsid w:val="00CD331A"/>
    <w:rsid w:val="00CD3DAE"/>
    <w:rsid w:val="00CD43E6"/>
    <w:rsid w:val="00CD4C4F"/>
    <w:rsid w:val="00CD4CD3"/>
    <w:rsid w:val="00CD6287"/>
    <w:rsid w:val="00CD670E"/>
    <w:rsid w:val="00CD6E6E"/>
    <w:rsid w:val="00CD704E"/>
    <w:rsid w:val="00CD7C06"/>
    <w:rsid w:val="00CE080B"/>
    <w:rsid w:val="00CE2563"/>
    <w:rsid w:val="00CE35BA"/>
    <w:rsid w:val="00CE3BE6"/>
    <w:rsid w:val="00CE3DDA"/>
    <w:rsid w:val="00CE4005"/>
    <w:rsid w:val="00CE414E"/>
    <w:rsid w:val="00CE42A1"/>
    <w:rsid w:val="00CE5819"/>
    <w:rsid w:val="00CE59FA"/>
    <w:rsid w:val="00CE5EE9"/>
    <w:rsid w:val="00CE65ED"/>
    <w:rsid w:val="00CE71CA"/>
    <w:rsid w:val="00CE7B54"/>
    <w:rsid w:val="00CE7B88"/>
    <w:rsid w:val="00CE7FD4"/>
    <w:rsid w:val="00CF02BE"/>
    <w:rsid w:val="00CF02CF"/>
    <w:rsid w:val="00CF1536"/>
    <w:rsid w:val="00CF1E27"/>
    <w:rsid w:val="00CF2E09"/>
    <w:rsid w:val="00CF329C"/>
    <w:rsid w:val="00CF3537"/>
    <w:rsid w:val="00CF39C2"/>
    <w:rsid w:val="00CF3D0F"/>
    <w:rsid w:val="00CF73BC"/>
    <w:rsid w:val="00CF76E1"/>
    <w:rsid w:val="00CF7C37"/>
    <w:rsid w:val="00CF7CB9"/>
    <w:rsid w:val="00D00512"/>
    <w:rsid w:val="00D007D3"/>
    <w:rsid w:val="00D00EA1"/>
    <w:rsid w:val="00D014B1"/>
    <w:rsid w:val="00D01596"/>
    <w:rsid w:val="00D044D1"/>
    <w:rsid w:val="00D04B69"/>
    <w:rsid w:val="00D054DD"/>
    <w:rsid w:val="00D05834"/>
    <w:rsid w:val="00D05A74"/>
    <w:rsid w:val="00D07CBB"/>
    <w:rsid w:val="00D10554"/>
    <w:rsid w:val="00D11289"/>
    <w:rsid w:val="00D119BE"/>
    <w:rsid w:val="00D11FDE"/>
    <w:rsid w:val="00D12528"/>
    <w:rsid w:val="00D12C0A"/>
    <w:rsid w:val="00D133B2"/>
    <w:rsid w:val="00D139CB"/>
    <w:rsid w:val="00D14538"/>
    <w:rsid w:val="00D145E9"/>
    <w:rsid w:val="00D14CEE"/>
    <w:rsid w:val="00D15CD2"/>
    <w:rsid w:val="00D165B3"/>
    <w:rsid w:val="00D1693B"/>
    <w:rsid w:val="00D17623"/>
    <w:rsid w:val="00D17683"/>
    <w:rsid w:val="00D17880"/>
    <w:rsid w:val="00D17C3A"/>
    <w:rsid w:val="00D2116D"/>
    <w:rsid w:val="00D21762"/>
    <w:rsid w:val="00D21882"/>
    <w:rsid w:val="00D225CB"/>
    <w:rsid w:val="00D263A9"/>
    <w:rsid w:val="00D26A43"/>
    <w:rsid w:val="00D273D7"/>
    <w:rsid w:val="00D2776E"/>
    <w:rsid w:val="00D27923"/>
    <w:rsid w:val="00D30315"/>
    <w:rsid w:val="00D303D3"/>
    <w:rsid w:val="00D305F9"/>
    <w:rsid w:val="00D3083A"/>
    <w:rsid w:val="00D308C8"/>
    <w:rsid w:val="00D30C44"/>
    <w:rsid w:val="00D30D76"/>
    <w:rsid w:val="00D30E8C"/>
    <w:rsid w:val="00D31D19"/>
    <w:rsid w:val="00D31D84"/>
    <w:rsid w:val="00D32C6F"/>
    <w:rsid w:val="00D33017"/>
    <w:rsid w:val="00D33276"/>
    <w:rsid w:val="00D33719"/>
    <w:rsid w:val="00D34D73"/>
    <w:rsid w:val="00D35072"/>
    <w:rsid w:val="00D35E78"/>
    <w:rsid w:val="00D361E0"/>
    <w:rsid w:val="00D37A4D"/>
    <w:rsid w:val="00D37ECA"/>
    <w:rsid w:val="00D40067"/>
    <w:rsid w:val="00D4063D"/>
    <w:rsid w:val="00D408EA"/>
    <w:rsid w:val="00D40DBF"/>
    <w:rsid w:val="00D41B41"/>
    <w:rsid w:val="00D4247A"/>
    <w:rsid w:val="00D42FBC"/>
    <w:rsid w:val="00D436E0"/>
    <w:rsid w:val="00D4390E"/>
    <w:rsid w:val="00D44D16"/>
    <w:rsid w:val="00D44D69"/>
    <w:rsid w:val="00D44E0C"/>
    <w:rsid w:val="00D44F26"/>
    <w:rsid w:val="00D44FFD"/>
    <w:rsid w:val="00D46A1D"/>
    <w:rsid w:val="00D47056"/>
    <w:rsid w:val="00D4782D"/>
    <w:rsid w:val="00D47C1B"/>
    <w:rsid w:val="00D47CB9"/>
    <w:rsid w:val="00D501D9"/>
    <w:rsid w:val="00D50899"/>
    <w:rsid w:val="00D5101E"/>
    <w:rsid w:val="00D51BEE"/>
    <w:rsid w:val="00D523C5"/>
    <w:rsid w:val="00D52B01"/>
    <w:rsid w:val="00D53050"/>
    <w:rsid w:val="00D54AD5"/>
    <w:rsid w:val="00D557C3"/>
    <w:rsid w:val="00D55F66"/>
    <w:rsid w:val="00D560C6"/>
    <w:rsid w:val="00D56962"/>
    <w:rsid w:val="00D574FD"/>
    <w:rsid w:val="00D609BF"/>
    <w:rsid w:val="00D616D3"/>
    <w:rsid w:val="00D62CEF"/>
    <w:rsid w:val="00D63657"/>
    <w:rsid w:val="00D63BA4"/>
    <w:rsid w:val="00D63C94"/>
    <w:rsid w:val="00D63E6D"/>
    <w:rsid w:val="00D64305"/>
    <w:rsid w:val="00D65531"/>
    <w:rsid w:val="00D65985"/>
    <w:rsid w:val="00D66192"/>
    <w:rsid w:val="00D66C2C"/>
    <w:rsid w:val="00D6743D"/>
    <w:rsid w:val="00D67668"/>
    <w:rsid w:val="00D71784"/>
    <w:rsid w:val="00D7206E"/>
    <w:rsid w:val="00D7221C"/>
    <w:rsid w:val="00D725B6"/>
    <w:rsid w:val="00D73121"/>
    <w:rsid w:val="00D73733"/>
    <w:rsid w:val="00D737AB"/>
    <w:rsid w:val="00D73EB3"/>
    <w:rsid w:val="00D7427F"/>
    <w:rsid w:val="00D74608"/>
    <w:rsid w:val="00D75256"/>
    <w:rsid w:val="00D7541C"/>
    <w:rsid w:val="00D75E56"/>
    <w:rsid w:val="00D762F9"/>
    <w:rsid w:val="00D76366"/>
    <w:rsid w:val="00D76761"/>
    <w:rsid w:val="00D76D3E"/>
    <w:rsid w:val="00D76DD7"/>
    <w:rsid w:val="00D7722E"/>
    <w:rsid w:val="00D77739"/>
    <w:rsid w:val="00D777A5"/>
    <w:rsid w:val="00D77C94"/>
    <w:rsid w:val="00D77D10"/>
    <w:rsid w:val="00D77EA8"/>
    <w:rsid w:val="00D805DA"/>
    <w:rsid w:val="00D80D00"/>
    <w:rsid w:val="00D813C4"/>
    <w:rsid w:val="00D81894"/>
    <w:rsid w:val="00D81DD4"/>
    <w:rsid w:val="00D82489"/>
    <w:rsid w:val="00D82528"/>
    <w:rsid w:val="00D82919"/>
    <w:rsid w:val="00D82CEA"/>
    <w:rsid w:val="00D840A7"/>
    <w:rsid w:val="00D8441F"/>
    <w:rsid w:val="00D85AD0"/>
    <w:rsid w:val="00D86440"/>
    <w:rsid w:val="00D86BAD"/>
    <w:rsid w:val="00D873C9"/>
    <w:rsid w:val="00D87448"/>
    <w:rsid w:val="00D875A5"/>
    <w:rsid w:val="00D87B63"/>
    <w:rsid w:val="00D907AC"/>
    <w:rsid w:val="00D90AE2"/>
    <w:rsid w:val="00D916BD"/>
    <w:rsid w:val="00D929B8"/>
    <w:rsid w:val="00D9331B"/>
    <w:rsid w:val="00D933FC"/>
    <w:rsid w:val="00D93676"/>
    <w:rsid w:val="00D9422F"/>
    <w:rsid w:val="00D950A8"/>
    <w:rsid w:val="00D9587A"/>
    <w:rsid w:val="00D9631F"/>
    <w:rsid w:val="00D96AAB"/>
    <w:rsid w:val="00D96F54"/>
    <w:rsid w:val="00D96F5E"/>
    <w:rsid w:val="00D9742B"/>
    <w:rsid w:val="00D9773F"/>
    <w:rsid w:val="00D97F32"/>
    <w:rsid w:val="00DA1140"/>
    <w:rsid w:val="00DA1388"/>
    <w:rsid w:val="00DA1F93"/>
    <w:rsid w:val="00DA23E9"/>
    <w:rsid w:val="00DA28E9"/>
    <w:rsid w:val="00DA2E64"/>
    <w:rsid w:val="00DA35FB"/>
    <w:rsid w:val="00DA385A"/>
    <w:rsid w:val="00DA39A0"/>
    <w:rsid w:val="00DA3B9A"/>
    <w:rsid w:val="00DA612F"/>
    <w:rsid w:val="00DA649F"/>
    <w:rsid w:val="00DA6DF5"/>
    <w:rsid w:val="00DA72E1"/>
    <w:rsid w:val="00DB0986"/>
    <w:rsid w:val="00DB1586"/>
    <w:rsid w:val="00DB1CA7"/>
    <w:rsid w:val="00DB1EFF"/>
    <w:rsid w:val="00DB2720"/>
    <w:rsid w:val="00DB2F4C"/>
    <w:rsid w:val="00DB3170"/>
    <w:rsid w:val="00DB3780"/>
    <w:rsid w:val="00DB3B47"/>
    <w:rsid w:val="00DB3DE0"/>
    <w:rsid w:val="00DB5A20"/>
    <w:rsid w:val="00DB6313"/>
    <w:rsid w:val="00DC0D60"/>
    <w:rsid w:val="00DC1876"/>
    <w:rsid w:val="00DC40C1"/>
    <w:rsid w:val="00DC45C3"/>
    <w:rsid w:val="00DC5ED0"/>
    <w:rsid w:val="00DC6E7C"/>
    <w:rsid w:val="00DC71E4"/>
    <w:rsid w:val="00DC7E71"/>
    <w:rsid w:val="00DD0420"/>
    <w:rsid w:val="00DD082B"/>
    <w:rsid w:val="00DD260A"/>
    <w:rsid w:val="00DD2ADB"/>
    <w:rsid w:val="00DD4197"/>
    <w:rsid w:val="00DD428D"/>
    <w:rsid w:val="00DD4F5B"/>
    <w:rsid w:val="00DD6CFC"/>
    <w:rsid w:val="00DD6FA0"/>
    <w:rsid w:val="00DD76EA"/>
    <w:rsid w:val="00DD7A15"/>
    <w:rsid w:val="00DE016D"/>
    <w:rsid w:val="00DE054A"/>
    <w:rsid w:val="00DE09F8"/>
    <w:rsid w:val="00DE0B48"/>
    <w:rsid w:val="00DE110B"/>
    <w:rsid w:val="00DE116B"/>
    <w:rsid w:val="00DE1DCF"/>
    <w:rsid w:val="00DE2C14"/>
    <w:rsid w:val="00DE3072"/>
    <w:rsid w:val="00DE3175"/>
    <w:rsid w:val="00DE364D"/>
    <w:rsid w:val="00DE37BB"/>
    <w:rsid w:val="00DE3FE3"/>
    <w:rsid w:val="00DE4B48"/>
    <w:rsid w:val="00DE5692"/>
    <w:rsid w:val="00DE583F"/>
    <w:rsid w:val="00DE6869"/>
    <w:rsid w:val="00DE71E7"/>
    <w:rsid w:val="00DE7DEF"/>
    <w:rsid w:val="00DF03E5"/>
    <w:rsid w:val="00DF05A8"/>
    <w:rsid w:val="00DF0933"/>
    <w:rsid w:val="00DF0ECC"/>
    <w:rsid w:val="00DF1352"/>
    <w:rsid w:val="00DF43D9"/>
    <w:rsid w:val="00DF4635"/>
    <w:rsid w:val="00DF5566"/>
    <w:rsid w:val="00DF6309"/>
    <w:rsid w:val="00DF70F9"/>
    <w:rsid w:val="00DF74C6"/>
    <w:rsid w:val="00E00203"/>
    <w:rsid w:val="00E02A25"/>
    <w:rsid w:val="00E02C58"/>
    <w:rsid w:val="00E047A8"/>
    <w:rsid w:val="00E04A03"/>
    <w:rsid w:val="00E04C2F"/>
    <w:rsid w:val="00E06161"/>
    <w:rsid w:val="00E077A6"/>
    <w:rsid w:val="00E07CFF"/>
    <w:rsid w:val="00E112E7"/>
    <w:rsid w:val="00E11336"/>
    <w:rsid w:val="00E11857"/>
    <w:rsid w:val="00E12033"/>
    <w:rsid w:val="00E12093"/>
    <w:rsid w:val="00E127AC"/>
    <w:rsid w:val="00E128D6"/>
    <w:rsid w:val="00E1308A"/>
    <w:rsid w:val="00E136FC"/>
    <w:rsid w:val="00E14179"/>
    <w:rsid w:val="00E1588F"/>
    <w:rsid w:val="00E1637D"/>
    <w:rsid w:val="00E17A58"/>
    <w:rsid w:val="00E17C76"/>
    <w:rsid w:val="00E200D4"/>
    <w:rsid w:val="00E20319"/>
    <w:rsid w:val="00E2043F"/>
    <w:rsid w:val="00E20857"/>
    <w:rsid w:val="00E2144D"/>
    <w:rsid w:val="00E21B7F"/>
    <w:rsid w:val="00E23489"/>
    <w:rsid w:val="00E23A2B"/>
    <w:rsid w:val="00E23C54"/>
    <w:rsid w:val="00E24A62"/>
    <w:rsid w:val="00E25455"/>
    <w:rsid w:val="00E26285"/>
    <w:rsid w:val="00E26B0F"/>
    <w:rsid w:val="00E26DF5"/>
    <w:rsid w:val="00E2708C"/>
    <w:rsid w:val="00E327D0"/>
    <w:rsid w:val="00E329E2"/>
    <w:rsid w:val="00E333DC"/>
    <w:rsid w:val="00E334F0"/>
    <w:rsid w:val="00E34967"/>
    <w:rsid w:val="00E34D12"/>
    <w:rsid w:val="00E355F0"/>
    <w:rsid w:val="00E35DB1"/>
    <w:rsid w:val="00E36371"/>
    <w:rsid w:val="00E3648B"/>
    <w:rsid w:val="00E367C4"/>
    <w:rsid w:val="00E36CA7"/>
    <w:rsid w:val="00E37F44"/>
    <w:rsid w:val="00E37FA7"/>
    <w:rsid w:val="00E4008B"/>
    <w:rsid w:val="00E40568"/>
    <w:rsid w:val="00E40C52"/>
    <w:rsid w:val="00E40D09"/>
    <w:rsid w:val="00E4203D"/>
    <w:rsid w:val="00E428FB"/>
    <w:rsid w:val="00E433CE"/>
    <w:rsid w:val="00E43736"/>
    <w:rsid w:val="00E43D96"/>
    <w:rsid w:val="00E43EF6"/>
    <w:rsid w:val="00E45358"/>
    <w:rsid w:val="00E46304"/>
    <w:rsid w:val="00E46753"/>
    <w:rsid w:val="00E4693C"/>
    <w:rsid w:val="00E46944"/>
    <w:rsid w:val="00E46CA9"/>
    <w:rsid w:val="00E46E12"/>
    <w:rsid w:val="00E47B45"/>
    <w:rsid w:val="00E504F2"/>
    <w:rsid w:val="00E51317"/>
    <w:rsid w:val="00E5198A"/>
    <w:rsid w:val="00E51F57"/>
    <w:rsid w:val="00E52133"/>
    <w:rsid w:val="00E5219F"/>
    <w:rsid w:val="00E52BC6"/>
    <w:rsid w:val="00E52CBB"/>
    <w:rsid w:val="00E52D55"/>
    <w:rsid w:val="00E532D1"/>
    <w:rsid w:val="00E53326"/>
    <w:rsid w:val="00E53885"/>
    <w:rsid w:val="00E53A28"/>
    <w:rsid w:val="00E5497D"/>
    <w:rsid w:val="00E554FF"/>
    <w:rsid w:val="00E555F1"/>
    <w:rsid w:val="00E5582D"/>
    <w:rsid w:val="00E561F0"/>
    <w:rsid w:val="00E56238"/>
    <w:rsid w:val="00E565F6"/>
    <w:rsid w:val="00E576B0"/>
    <w:rsid w:val="00E57B47"/>
    <w:rsid w:val="00E601E0"/>
    <w:rsid w:val="00E61B43"/>
    <w:rsid w:val="00E61D05"/>
    <w:rsid w:val="00E61DF0"/>
    <w:rsid w:val="00E63547"/>
    <w:rsid w:val="00E639C3"/>
    <w:rsid w:val="00E651BE"/>
    <w:rsid w:val="00E668B8"/>
    <w:rsid w:val="00E66F6D"/>
    <w:rsid w:val="00E675F9"/>
    <w:rsid w:val="00E677CC"/>
    <w:rsid w:val="00E678DC"/>
    <w:rsid w:val="00E70028"/>
    <w:rsid w:val="00E704B5"/>
    <w:rsid w:val="00E7097A"/>
    <w:rsid w:val="00E714A1"/>
    <w:rsid w:val="00E716BB"/>
    <w:rsid w:val="00E7198F"/>
    <w:rsid w:val="00E72AB5"/>
    <w:rsid w:val="00E72ACC"/>
    <w:rsid w:val="00E738AA"/>
    <w:rsid w:val="00E74246"/>
    <w:rsid w:val="00E74763"/>
    <w:rsid w:val="00E75CFD"/>
    <w:rsid w:val="00E766DD"/>
    <w:rsid w:val="00E7699E"/>
    <w:rsid w:val="00E77358"/>
    <w:rsid w:val="00E77958"/>
    <w:rsid w:val="00E77B24"/>
    <w:rsid w:val="00E804BD"/>
    <w:rsid w:val="00E8089D"/>
    <w:rsid w:val="00E810C8"/>
    <w:rsid w:val="00E820FD"/>
    <w:rsid w:val="00E821DD"/>
    <w:rsid w:val="00E826ED"/>
    <w:rsid w:val="00E82B1C"/>
    <w:rsid w:val="00E834D6"/>
    <w:rsid w:val="00E83A3C"/>
    <w:rsid w:val="00E841C3"/>
    <w:rsid w:val="00E847CE"/>
    <w:rsid w:val="00E84C90"/>
    <w:rsid w:val="00E85564"/>
    <w:rsid w:val="00E86F75"/>
    <w:rsid w:val="00E872A6"/>
    <w:rsid w:val="00E87A04"/>
    <w:rsid w:val="00E903E9"/>
    <w:rsid w:val="00E9042E"/>
    <w:rsid w:val="00E90E2E"/>
    <w:rsid w:val="00E9107D"/>
    <w:rsid w:val="00E912A4"/>
    <w:rsid w:val="00E913D5"/>
    <w:rsid w:val="00E916AD"/>
    <w:rsid w:val="00E928CA"/>
    <w:rsid w:val="00E9394A"/>
    <w:rsid w:val="00E9484C"/>
    <w:rsid w:val="00E94A5D"/>
    <w:rsid w:val="00E94BAB"/>
    <w:rsid w:val="00E9607F"/>
    <w:rsid w:val="00E97482"/>
    <w:rsid w:val="00E974B9"/>
    <w:rsid w:val="00EA015C"/>
    <w:rsid w:val="00EA03D7"/>
    <w:rsid w:val="00EA1849"/>
    <w:rsid w:val="00EA1C2D"/>
    <w:rsid w:val="00EA1FDB"/>
    <w:rsid w:val="00EA24FB"/>
    <w:rsid w:val="00EA2FBA"/>
    <w:rsid w:val="00EA31E4"/>
    <w:rsid w:val="00EA332A"/>
    <w:rsid w:val="00EA37E0"/>
    <w:rsid w:val="00EA4812"/>
    <w:rsid w:val="00EA609F"/>
    <w:rsid w:val="00EA75A1"/>
    <w:rsid w:val="00EA7887"/>
    <w:rsid w:val="00EB0E22"/>
    <w:rsid w:val="00EB127B"/>
    <w:rsid w:val="00EB1957"/>
    <w:rsid w:val="00EB2A88"/>
    <w:rsid w:val="00EB2F69"/>
    <w:rsid w:val="00EB4C85"/>
    <w:rsid w:val="00EB5697"/>
    <w:rsid w:val="00EB58B3"/>
    <w:rsid w:val="00EB5F1F"/>
    <w:rsid w:val="00EB78AE"/>
    <w:rsid w:val="00EC12E1"/>
    <w:rsid w:val="00EC145E"/>
    <w:rsid w:val="00EC17CB"/>
    <w:rsid w:val="00EC23AE"/>
    <w:rsid w:val="00EC348F"/>
    <w:rsid w:val="00EC376D"/>
    <w:rsid w:val="00EC3968"/>
    <w:rsid w:val="00EC3AF2"/>
    <w:rsid w:val="00EC3D01"/>
    <w:rsid w:val="00EC448D"/>
    <w:rsid w:val="00EC469F"/>
    <w:rsid w:val="00EC4AAD"/>
    <w:rsid w:val="00EC59F3"/>
    <w:rsid w:val="00EC5A70"/>
    <w:rsid w:val="00EC6489"/>
    <w:rsid w:val="00EC656B"/>
    <w:rsid w:val="00ED02F7"/>
    <w:rsid w:val="00ED16C8"/>
    <w:rsid w:val="00ED18E4"/>
    <w:rsid w:val="00ED1AE1"/>
    <w:rsid w:val="00ED1BA0"/>
    <w:rsid w:val="00ED200D"/>
    <w:rsid w:val="00ED26FA"/>
    <w:rsid w:val="00ED2DE3"/>
    <w:rsid w:val="00ED39E5"/>
    <w:rsid w:val="00ED424D"/>
    <w:rsid w:val="00ED4B32"/>
    <w:rsid w:val="00ED4CA5"/>
    <w:rsid w:val="00ED52DD"/>
    <w:rsid w:val="00ED530E"/>
    <w:rsid w:val="00ED53FE"/>
    <w:rsid w:val="00ED56EC"/>
    <w:rsid w:val="00ED6AAB"/>
    <w:rsid w:val="00ED6E02"/>
    <w:rsid w:val="00ED7163"/>
    <w:rsid w:val="00ED7A27"/>
    <w:rsid w:val="00EE02F6"/>
    <w:rsid w:val="00EE0E03"/>
    <w:rsid w:val="00EE2E89"/>
    <w:rsid w:val="00EE46B9"/>
    <w:rsid w:val="00EE5265"/>
    <w:rsid w:val="00EE5351"/>
    <w:rsid w:val="00EE5969"/>
    <w:rsid w:val="00EE5AA2"/>
    <w:rsid w:val="00EE6345"/>
    <w:rsid w:val="00EE77CF"/>
    <w:rsid w:val="00EE7C07"/>
    <w:rsid w:val="00EF16CA"/>
    <w:rsid w:val="00EF1BFD"/>
    <w:rsid w:val="00EF1C16"/>
    <w:rsid w:val="00EF2DFF"/>
    <w:rsid w:val="00EF329C"/>
    <w:rsid w:val="00EF34E4"/>
    <w:rsid w:val="00EF36FC"/>
    <w:rsid w:val="00EF3A68"/>
    <w:rsid w:val="00EF4377"/>
    <w:rsid w:val="00EF4FA1"/>
    <w:rsid w:val="00EF5590"/>
    <w:rsid w:val="00EF61B3"/>
    <w:rsid w:val="00F000CE"/>
    <w:rsid w:val="00F0015B"/>
    <w:rsid w:val="00F005F8"/>
    <w:rsid w:val="00F00BC6"/>
    <w:rsid w:val="00F014CF"/>
    <w:rsid w:val="00F02BDC"/>
    <w:rsid w:val="00F033E5"/>
    <w:rsid w:val="00F035E9"/>
    <w:rsid w:val="00F03BA1"/>
    <w:rsid w:val="00F03CBE"/>
    <w:rsid w:val="00F0401F"/>
    <w:rsid w:val="00F04567"/>
    <w:rsid w:val="00F04A5A"/>
    <w:rsid w:val="00F04E88"/>
    <w:rsid w:val="00F07042"/>
    <w:rsid w:val="00F07F98"/>
    <w:rsid w:val="00F11F19"/>
    <w:rsid w:val="00F12DD8"/>
    <w:rsid w:val="00F13717"/>
    <w:rsid w:val="00F1425F"/>
    <w:rsid w:val="00F14655"/>
    <w:rsid w:val="00F15947"/>
    <w:rsid w:val="00F16F13"/>
    <w:rsid w:val="00F17132"/>
    <w:rsid w:val="00F17A82"/>
    <w:rsid w:val="00F17F8C"/>
    <w:rsid w:val="00F20AEE"/>
    <w:rsid w:val="00F20D6F"/>
    <w:rsid w:val="00F21484"/>
    <w:rsid w:val="00F216C3"/>
    <w:rsid w:val="00F2271A"/>
    <w:rsid w:val="00F22E39"/>
    <w:rsid w:val="00F239D1"/>
    <w:rsid w:val="00F23AA7"/>
    <w:rsid w:val="00F25D85"/>
    <w:rsid w:val="00F265CB"/>
    <w:rsid w:val="00F26E4C"/>
    <w:rsid w:val="00F27CC8"/>
    <w:rsid w:val="00F30185"/>
    <w:rsid w:val="00F30937"/>
    <w:rsid w:val="00F33B46"/>
    <w:rsid w:val="00F344BC"/>
    <w:rsid w:val="00F3459C"/>
    <w:rsid w:val="00F34998"/>
    <w:rsid w:val="00F4045C"/>
    <w:rsid w:val="00F40A33"/>
    <w:rsid w:val="00F41793"/>
    <w:rsid w:val="00F42B5F"/>
    <w:rsid w:val="00F430E4"/>
    <w:rsid w:val="00F439E3"/>
    <w:rsid w:val="00F46073"/>
    <w:rsid w:val="00F46D47"/>
    <w:rsid w:val="00F46F98"/>
    <w:rsid w:val="00F504B6"/>
    <w:rsid w:val="00F514F4"/>
    <w:rsid w:val="00F51E76"/>
    <w:rsid w:val="00F52F7A"/>
    <w:rsid w:val="00F5429F"/>
    <w:rsid w:val="00F5539C"/>
    <w:rsid w:val="00F556D5"/>
    <w:rsid w:val="00F55982"/>
    <w:rsid w:val="00F55DEB"/>
    <w:rsid w:val="00F56119"/>
    <w:rsid w:val="00F56ED9"/>
    <w:rsid w:val="00F5770C"/>
    <w:rsid w:val="00F57825"/>
    <w:rsid w:val="00F57E72"/>
    <w:rsid w:val="00F60262"/>
    <w:rsid w:val="00F603EB"/>
    <w:rsid w:val="00F60A5B"/>
    <w:rsid w:val="00F60AB9"/>
    <w:rsid w:val="00F60B85"/>
    <w:rsid w:val="00F6149D"/>
    <w:rsid w:val="00F62041"/>
    <w:rsid w:val="00F62C43"/>
    <w:rsid w:val="00F62F74"/>
    <w:rsid w:val="00F62FC1"/>
    <w:rsid w:val="00F634D3"/>
    <w:rsid w:val="00F63D56"/>
    <w:rsid w:val="00F63EE5"/>
    <w:rsid w:val="00F654B8"/>
    <w:rsid w:val="00F65AC0"/>
    <w:rsid w:val="00F66111"/>
    <w:rsid w:val="00F667B4"/>
    <w:rsid w:val="00F66B95"/>
    <w:rsid w:val="00F6779D"/>
    <w:rsid w:val="00F67945"/>
    <w:rsid w:val="00F70525"/>
    <w:rsid w:val="00F71518"/>
    <w:rsid w:val="00F7271A"/>
    <w:rsid w:val="00F7372D"/>
    <w:rsid w:val="00F748F1"/>
    <w:rsid w:val="00F75315"/>
    <w:rsid w:val="00F75D2D"/>
    <w:rsid w:val="00F7668A"/>
    <w:rsid w:val="00F77846"/>
    <w:rsid w:val="00F8032C"/>
    <w:rsid w:val="00F81380"/>
    <w:rsid w:val="00F832A6"/>
    <w:rsid w:val="00F83336"/>
    <w:rsid w:val="00F83BA0"/>
    <w:rsid w:val="00F83FE4"/>
    <w:rsid w:val="00F84880"/>
    <w:rsid w:val="00F84C73"/>
    <w:rsid w:val="00F84E2C"/>
    <w:rsid w:val="00F84E54"/>
    <w:rsid w:val="00F84FE6"/>
    <w:rsid w:val="00F850EF"/>
    <w:rsid w:val="00F86BBE"/>
    <w:rsid w:val="00F86F43"/>
    <w:rsid w:val="00F870B4"/>
    <w:rsid w:val="00F878CE"/>
    <w:rsid w:val="00F87F53"/>
    <w:rsid w:val="00F903ED"/>
    <w:rsid w:val="00F911DC"/>
    <w:rsid w:val="00F91466"/>
    <w:rsid w:val="00F92039"/>
    <w:rsid w:val="00F92C2C"/>
    <w:rsid w:val="00F935C8"/>
    <w:rsid w:val="00F93977"/>
    <w:rsid w:val="00F93B60"/>
    <w:rsid w:val="00F93C20"/>
    <w:rsid w:val="00F94670"/>
    <w:rsid w:val="00F94884"/>
    <w:rsid w:val="00F94FDC"/>
    <w:rsid w:val="00F95441"/>
    <w:rsid w:val="00F967E6"/>
    <w:rsid w:val="00F97328"/>
    <w:rsid w:val="00F97C7D"/>
    <w:rsid w:val="00FA003B"/>
    <w:rsid w:val="00FA041C"/>
    <w:rsid w:val="00FA0AC0"/>
    <w:rsid w:val="00FA144B"/>
    <w:rsid w:val="00FA1C18"/>
    <w:rsid w:val="00FA233E"/>
    <w:rsid w:val="00FA34EA"/>
    <w:rsid w:val="00FA36BC"/>
    <w:rsid w:val="00FA3AB5"/>
    <w:rsid w:val="00FA4421"/>
    <w:rsid w:val="00FA457D"/>
    <w:rsid w:val="00FA4B15"/>
    <w:rsid w:val="00FA4DB3"/>
    <w:rsid w:val="00FA5595"/>
    <w:rsid w:val="00FA5AC7"/>
    <w:rsid w:val="00FA5AE7"/>
    <w:rsid w:val="00FA68C7"/>
    <w:rsid w:val="00FA719E"/>
    <w:rsid w:val="00FB102B"/>
    <w:rsid w:val="00FB1885"/>
    <w:rsid w:val="00FB1E60"/>
    <w:rsid w:val="00FB2F85"/>
    <w:rsid w:val="00FB403A"/>
    <w:rsid w:val="00FB4413"/>
    <w:rsid w:val="00FB4E76"/>
    <w:rsid w:val="00FB5F5D"/>
    <w:rsid w:val="00FB6E01"/>
    <w:rsid w:val="00FB7319"/>
    <w:rsid w:val="00FC000D"/>
    <w:rsid w:val="00FC0707"/>
    <w:rsid w:val="00FC1267"/>
    <w:rsid w:val="00FC12FD"/>
    <w:rsid w:val="00FC2188"/>
    <w:rsid w:val="00FC2B2C"/>
    <w:rsid w:val="00FC2CC8"/>
    <w:rsid w:val="00FC2E76"/>
    <w:rsid w:val="00FC4876"/>
    <w:rsid w:val="00FC5CE3"/>
    <w:rsid w:val="00FC5EDE"/>
    <w:rsid w:val="00FC69AF"/>
    <w:rsid w:val="00FC6A57"/>
    <w:rsid w:val="00FC6E97"/>
    <w:rsid w:val="00FD0007"/>
    <w:rsid w:val="00FD1519"/>
    <w:rsid w:val="00FD202A"/>
    <w:rsid w:val="00FD25AE"/>
    <w:rsid w:val="00FD2BBD"/>
    <w:rsid w:val="00FD325B"/>
    <w:rsid w:val="00FD3E4A"/>
    <w:rsid w:val="00FD4AF1"/>
    <w:rsid w:val="00FD4C2D"/>
    <w:rsid w:val="00FD53D3"/>
    <w:rsid w:val="00FD5A4C"/>
    <w:rsid w:val="00FD6EE4"/>
    <w:rsid w:val="00FD7046"/>
    <w:rsid w:val="00FD717E"/>
    <w:rsid w:val="00FD7C02"/>
    <w:rsid w:val="00FE0BBD"/>
    <w:rsid w:val="00FE1E0D"/>
    <w:rsid w:val="00FE21CB"/>
    <w:rsid w:val="00FE2DA7"/>
    <w:rsid w:val="00FE2FD1"/>
    <w:rsid w:val="00FE3183"/>
    <w:rsid w:val="00FE360C"/>
    <w:rsid w:val="00FE3E8A"/>
    <w:rsid w:val="00FE3ED6"/>
    <w:rsid w:val="00FE50AB"/>
    <w:rsid w:val="00FE5423"/>
    <w:rsid w:val="00FE576E"/>
    <w:rsid w:val="00FE5877"/>
    <w:rsid w:val="00FE5D5D"/>
    <w:rsid w:val="00FE7110"/>
    <w:rsid w:val="00FE7432"/>
    <w:rsid w:val="00FE7FA0"/>
    <w:rsid w:val="00FF005B"/>
    <w:rsid w:val="00FF0709"/>
    <w:rsid w:val="00FF0D77"/>
    <w:rsid w:val="00FF0FEE"/>
    <w:rsid w:val="00FF11B6"/>
    <w:rsid w:val="00FF1A6E"/>
    <w:rsid w:val="00FF270C"/>
    <w:rsid w:val="00FF4426"/>
    <w:rsid w:val="00FF4C39"/>
    <w:rsid w:val="00FF5709"/>
    <w:rsid w:val="00FF5B24"/>
    <w:rsid w:val="00FF603D"/>
    <w:rsid w:val="00FF6F50"/>
    <w:rsid w:val="00FF6F67"/>
    <w:rsid w:val="01E15EBD"/>
    <w:rsid w:val="02D84143"/>
    <w:rsid w:val="0AA33F1A"/>
    <w:rsid w:val="0E532909"/>
    <w:rsid w:val="1072D417"/>
    <w:rsid w:val="14FC7A66"/>
    <w:rsid w:val="1549B022"/>
    <w:rsid w:val="18151F64"/>
    <w:rsid w:val="1A36F4CF"/>
    <w:rsid w:val="1BB8AB51"/>
    <w:rsid w:val="2C67AE99"/>
    <w:rsid w:val="2E67021F"/>
    <w:rsid w:val="374C4397"/>
    <w:rsid w:val="3A8A5B9E"/>
    <w:rsid w:val="3A8D1FF1"/>
    <w:rsid w:val="3CAE7F8A"/>
    <w:rsid w:val="3F323CE2"/>
    <w:rsid w:val="415A2048"/>
    <w:rsid w:val="4165DAE8"/>
    <w:rsid w:val="431F1510"/>
    <w:rsid w:val="45463D68"/>
    <w:rsid w:val="45781277"/>
    <w:rsid w:val="494CC501"/>
    <w:rsid w:val="4962A539"/>
    <w:rsid w:val="4A02F79E"/>
    <w:rsid w:val="4A8366D3"/>
    <w:rsid w:val="4AF6FA18"/>
    <w:rsid w:val="4EA12E43"/>
    <w:rsid w:val="4FB0FFC6"/>
    <w:rsid w:val="50E7C29B"/>
    <w:rsid w:val="51047009"/>
    <w:rsid w:val="53DDFB18"/>
    <w:rsid w:val="5511AF91"/>
    <w:rsid w:val="58475B89"/>
    <w:rsid w:val="5850C3CD"/>
    <w:rsid w:val="5C64C407"/>
    <w:rsid w:val="5EF18DFB"/>
    <w:rsid w:val="603A5597"/>
    <w:rsid w:val="62DE3780"/>
    <w:rsid w:val="65090707"/>
    <w:rsid w:val="65410F50"/>
    <w:rsid w:val="65848AF2"/>
    <w:rsid w:val="6998CC5A"/>
    <w:rsid w:val="6A691BA5"/>
    <w:rsid w:val="6EA04DA1"/>
    <w:rsid w:val="6EEE528A"/>
    <w:rsid w:val="71636076"/>
    <w:rsid w:val="793E4A39"/>
  </w:rsids>
  <m:mathPr>
    <m:mathFont m:val="Cambria Math"/>
    <m:brkBin m:val="before"/>
    <m:brkBinSub m:val="--"/>
    <m:smallFrac/>
    <m:dispDef/>
    <m:lMargin m:val="0"/>
    <m:rMargin m:val="0"/>
    <m:defJc m:val="centerGroup"/>
    <m:wrapRight/>
    <m:intLim m:val="subSup"/>
    <m:naryLim m:val="subSup"/>
  </m:mathPr>
  <w:themeFontLang w:val="es-E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753AAB"/>
  <w15:docId w15:val="{15AC3457-8C43-43E8-A8A5-EFDFE5B1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DCC"/>
    <w:pPr>
      <w:spacing w:after="160" w:line="260" w:lineRule="exact"/>
      <w:jc w:val="both"/>
    </w:pPr>
    <w:rPr>
      <w:rFonts w:ascii="Calibri" w:hAnsi="Calibri" w:cs="Verdana"/>
      <w:color w:val="334350"/>
      <w:spacing w:val="-6"/>
      <w:lang w:val="es-ES_tradnl" w:eastAsia="es-ES"/>
    </w:rPr>
  </w:style>
  <w:style w:type="paragraph" w:styleId="Heading1">
    <w:name w:val="heading 1"/>
    <w:basedOn w:val="Normal"/>
    <w:next w:val="Normal"/>
    <w:link w:val="Heading1Char"/>
    <w:uiPriority w:val="9"/>
    <w:qFormat/>
    <w:rsid w:val="00A143A2"/>
    <w:pPr>
      <w:keepNext/>
      <w:keepLines/>
      <w:spacing w:after="0" w:line="360" w:lineRule="exact"/>
      <w:jc w:val="left"/>
      <w:outlineLvl w:val="0"/>
    </w:pPr>
    <w:rPr>
      <w:rFonts w:ascii="Verdana" w:eastAsia="MS Gothic" w:hAnsi="Verdana" w:cs="Times New Roman"/>
      <w:b/>
      <w:bCs/>
      <w:color w:val="003652"/>
      <w:sz w:val="28"/>
      <w:szCs w:val="28"/>
    </w:rPr>
  </w:style>
  <w:style w:type="paragraph" w:styleId="Heading2">
    <w:name w:val="heading 2"/>
    <w:basedOn w:val="Normal"/>
    <w:next w:val="Normal"/>
    <w:link w:val="Heading2Char"/>
    <w:uiPriority w:val="9"/>
    <w:qFormat/>
    <w:rsid w:val="00A143A2"/>
    <w:pPr>
      <w:keepNext/>
      <w:keepLines/>
      <w:outlineLvl w:val="1"/>
    </w:pPr>
    <w:rPr>
      <w:rFonts w:ascii="Verdana" w:eastAsia="MS Gothic" w:hAnsi="Verdana" w:cs="Times New Roman"/>
      <w:bCs/>
      <w:color w:val="003652"/>
    </w:rPr>
  </w:style>
  <w:style w:type="paragraph" w:styleId="Heading3">
    <w:name w:val="heading 3"/>
    <w:basedOn w:val="Normal"/>
    <w:next w:val="Normal"/>
    <w:link w:val="Heading3Char"/>
    <w:uiPriority w:val="9"/>
    <w:qFormat/>
    <w:rsid w:val="00B33616"/>
    <w:pPr>
      <w:keepNext/>
      <w:keepLines/>
      <w:spacing w:before="200" w:after="0"/>
      <w:outlineLvl w:val="2"/>
    </w:pPr>
    <w:rPr>
      <w:rFonts w:eastAsia="MS Gothic" w:cs="Times New Roman"/>
      <w:b/>
      <w:bCs/>
      <w:color w:val="4F81BD"/>
    </w:rPr>
  </w:style>
  <w:style w:type="paragraph" w:styleId="Heading4">
    <w:name w:val="heading 4"/>
    <w:basedOn w:val="Normal"/>
    <w:next w:val="Normal"/>
    <w:link w:val="Heading4Char"/>
    <w:uiPriority w:val="9"/>
    <w:qFormat/>
    <w:rsid w:val="00594084"/>
    <w:pPr>
      <w:keepNext/>
      <w:keepLines/>
      <w:spacing w:before="200" w:after="0"/>
      <w:outlineLvl w:val="3"/>
    </w:pPr>
    <w:rPr>
      <w:rFonts w:eastAsia="MS Gothic" w:cs="Times New Roman"/>
      <w:b/>
      <w:bCs/>
      <w:i/>
      <w:iCs/>
      <w:color w:val="4F81BD"/>
    </w:rPr>
  </w:style>
  <w:style w:type="paragraph" w:styleId="Heading5">
    <w:name w:val="heading 5"/>
    <w:basedOn w:val="Normal"/>
    <w:next w:val="Normal"/>
    <w:link w:val="Heading5Char"/>
    <w:uiPriority w:val="9"/>
    <w:qFormat/>
    <w:rsid w:val="00594084"/>
    <w:pPr>
      <w:keepNext/>
      <w:keepLines/>
      <w:spacing w:before="200" w:after="0"/>
      <w:outlineLvl w:val="4"/>
    </w:pPr>
    <w:rPr>
      <w:rFonts w:eastAsia="MS Gothic" w:cs="Times New Roman"/>
      <w:color w:val="243F60"/>
    </w:rPr>
  </w:style>
  <w:style w:type="paragraph" w:styleId="Heading6">
    <w:name w:val="heading 6"/>
    <w:basedOn w:val="Normal"/>
    <w:next w:val="Normal"/>
    <w:link w:val="Heading6Char"/>
    <w:uiPriority w:val="9"/>
    <w:qFormat/>
    <w:rsid w:val="00A6461F"/>
    <w:pPr>
      <w:keepNext/>
      <w:keepLines/>
      <w:spacing w:before="200" w:after="0"/>
      <w:outlineLvl w:val="5"/>
    </w:pPr>
    <w:rPr>
      <w:rFonts w:eastAsia="MS Gothic" w:cs="Times New Roman"/>
      <w:i/>
      <w:iCs/>
      <w:color w:val="243F60"/>
    </w:rPr>
  </w:style>
  <w:style w:type="paragraph" w:styleId="Heading7">
    <w:name w:val="heading 7"/>
    <w:basedOn w:val="Normal"/>
    <w:next w:val="Normal"/>
    <w:link w:val="Heading7Char"/>
    <w:uiPriority w:val="9"/>
    <w:qFormat/>
    <w:rsid w:val="00A6461F"/>
    <w:pPr>
      <w:keepNext/>
      <w:keepLines/>
      <w:spacing w:before="200" w:after="0"/>
      <w:outlineLvl w:val="6"/>
    </w:pPr>
    <w:rPr>
      <w:rFonts w:eastAsia="MS Gothic" w:cs="Times New Roman"/>
      <w:i/>
      <w:iCs/>
      <w:color w:val="404040"/>
    </w:rPr>
  </w:style>
  <w:style w:type="paragraph" w:styleId="Heading8">
    <w:name w:val="heading 8"/>
    <w:basedOn w:val="Normal"/>
    <w:next w:val="Normal"/>
    <w:link w:val="Heading8Char"/>
    <w:uiPriority w:val="9"/>
    <w:qFormat/>
    <w:rsid w:val="00375199"/>
    <w:pPr>
      <w:keepNext/>
      <w:keepLines/>
      <w:spacing w:before="200" w:after="0"/>
      <w:outlineLvl w:val="7"/>
    </w:pPr>
    <w:rPr>
      <w:rFonts w:eastAsia="MS Gothic" w:cs="Times New Roman"/>
      <w:color w:val="003652"/>
    </w:rPr>
  </w:style>
  <w:style w:type="paragraph" w:styleId="Heading9">
    <w:name w:val="heading 9"/>
    <w:aliases w:val="Comunicacion"/>
    <w:basedOn w:val="Normal"/>
    <w:next w:val="Normal"/>
    <w:link w:val="Heading9Char"/>
    <w:uiPriority w:val="9"/>
    <w:qFormat/>
    <w:rsid w:val="007C0000"/>
    <w:pPr>
      <w:keepNext/>
      <w:keepLines/>
      <w:framePr w:hSpace="141" w:wrap="around" w:vAnchor="page" w:hAnchor="text" w:y="8730"/>
      <w:spacing w:after="0" w:line="200" w:lineRule="exact"/>
      <w:jc w:val="left"/>
      <w:outlineLvl w:val="8"/>
    </w:pPr>
    <w:rPr>
      <w:rFonts w:ascii="Verdana" w:eastAsia="MS Gothic" w:hAnsi="Verdana" w:cs="Times New Roman"/>
      <w:color w:val="5A6E74"/>
      <w:spacing w:val="0"/>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5E6"/>
    <w:pPr>
      <w:tabs>
        <w:tab w:val="center" w:pos="4252"/>
        <w:tab w:val="right" w:pos="8504"/>
      </w:tabs>
    </w:pPr>
  </w:style>
  <w:style w:type="character" w:customStyle="1" w:styleId="HeaderChar">
    <w:name w:val="Header Char"/>
    <w:basedOn w:val="DefaultParagraphFont"/>
    <w:link w:val="Header"/>
    <w:uiPriority w:val="99"/>
    <w:rsid w:val="007165E6"/>
  </w:style>
  <w:style w:type="paragraph" w:styleId="Footer">
    <w:name w:val="footer"/>
    <w:basedOn w:val="Normal"/>
    <w:link w:val="FooterChar"/>
    <w:uiPriority w:val="99"/>
    <w:unhideWhenUsed/>
    <w:rsid w:val="007165E6"/>
    <w:pPr>
      <w:tabs>
        <w:tab w:val="center" w:pos="4252"/>
        <w:tab w:val="right" w:pos="8504"/>
      </w:tabs>
    </w:pPr>
  </w:style>
  <w:style w:type="character" w:customStyle="1" w:styleId="FooterChar">
    <w:name w:val="Footer Char"/>
    <w:basedOn w:val="DefaultParagraphFont"/>
    <w:link w:val="Footer"/>
    <w:uiPriority w:val="99"/>
    <w:rsid w:val="007165E6"/>
  </w:style>
  <w:style w:type="paragraph" w:styleId="BalloonText">
    <w:name w:val="Balloon Text"/>
    <w:basedOn w:val="Normal"/>
    <w:link w:val="BalloonTextChar"/>
    <w:uiPriority w:val="99"/>
    <w:semiHidden/>
    <w:unhideWhenUsed/>
    <w:rsid w:val="007165E6"/>
    <w:rPr>
      <w:rFonts w:ascii="Lucida Grande" w:hAnsi="Lucida Grande" w:cs="Times New Roman"/>
      <w:color w:val="auto"/>
      <w:spacing w:val="0"/>
      <w:sz w:val="18"/>
      <w:szCs w:val="18"/>
    </w:rPr>
  </w:style>
  <w:style w:type="character" w:customStyle="1" w:styleId="BalloonTextChar">
    <w:name w:val="Balloon Text Char"/>
    <w:link w:val="BalloonText"/>
    <w:uiPriority w:val="99"/>
    <w:semiHidden/>
    <w:rsid w:val="007165E6"/>
    <w:rPr>
      <w:rFonts w:ascii="Lucida Grande" w:hAnsi="Lucida Grande" w:cs="Lucida Grande"/>
      <w:sz w:val="18"/>
      <w:szCs w:val="18"/>
    </w:rPr>
  </w:style>
  <w:style w:type="character" w:styleId="PageNumber">
    <w:name w:val="page number"/>
    <w:basedOn w:val="DefaultParagraphFont"/>
    <w:semiHidden/>
    <w:unhideWhenUsed/>
    <w:rsid w:val="00043D5E"/>
  </w:style>
  <w:style w:type="character" w:styleId="Hyperlink">
    <w:name w:val="Hyperlink"/>
    <w:uiPriority w:val="99"/>
    <w:unhideWhenUsed/>
    <w:rsid w:val="00043D5E"/>
    <w:rPr>
      <w:color w:val="0000FF"/>
      <w:u w:val="single"/>
    </w:rPr>
  </w:style>
  <w:style w:type="paragraph" w:customStyle="1" w:styleId="TitularsCursiva18pt">
    <w:name w:val="Titulars_Cursiva_18pt"/>
    <w:basedOn w:val="Normal"/>
    <w:uiPriority w:val="99"/>
    <w:rsid w:val="00302334"/>
    <w:pPr>
      <w:widowControl w:val="0"/>
      <w:autoSpaceDE w:val="0"/>
      <w:autoSpaceDN w:val="0"/>
      <w:adjustRightInd w:val="0"/>
      <w:spacing w:line="288" w:lineRule="auto"/>
      <w:textAlignment w:val="center"/>
    </w:pPr>
    <w:rPr>
      <w:rFonts w:ascii="Bliss-LightItalic" w:eastAsia="Cambria" w:hAnsi="Bliss-LightItalic" w:cs="Bliss-LightItalic"/>
      <w:i/>
      <w:iCs/>
      <w:color w:val="FFFFFF"/>
      <w:sz w:val="36"/>
      <w:szCs w:val="36"/>
      <w:lang w:eastAsia="en-US"/>
    </w:rPr>
  </w:style>
  <w:style w:type="paragraph" w:customStyle="1" w:styleId="Prrafobsico">
    <w:name w:val="[Párrafo básico]"/>
    <w:basedOn w:val="Normal"/>
    <w:uiPriority w:val="99"/>
    <w:rsid w:val="00302334"/>
    <w:pPr>
      <w:widowControl w:val="0"/>
      <w:autoSpaceDE w:val="0"/>
      <w:autoSpaceDN w:val="0"/>
      <w:adjustRightInd w:val="0"/>
      <w:spacing w:line="288" w:lineRule="auto"/>
      <w:textAlignment w:val="center"/>
    </w:pPr>
    <w:rPr>
      <w:rFonts w:ascii="Times-Roman" w:eastAsia="Cambria" w:hAnsi="Times-Roman" w:cs="Times-Roman"/>
      <w:color w:val="000000"/>
      <w:lang w:eastAsia="en-US"/>
    </w:rPr>
  </w:style>
  <w:style w:type="paragraph" w:customStyle="1" w:styleId="Cuadrculamedia1-nfasis21">
    <w:name w:val="Cuadrícula media 1 - Énfasis 21"/>
    <w:basedOn w:val="Normal"/>
    <w:uiPriority w:val="34"/>
    <w:qFormat/>
    <w:rsid w:val="007A2CD0"/>
    <w:pPr>
      <w:numPr>
        <w:numId w:val="1"/>
      </w:numPr>
      <w:spacing w:after="40"/>
    </w:pPr>
    <w:rPr>
      <w:spacing w:val="-8"/>
    </w:rPr>
  </w:style>
  <w:style w:type="character" w:customStyle="1" w:styleId="Heading2Char">
    <w:name w:val="Heading 2 Char"/>
    <w:link w:val="Heading2"/>
    <w:uiPriority w:val="9"/>
    <w:rsid w:val="00A143A2"/>
    <w:rPr>
      <w:rFonts w:ascii="Verdana" w:eastAsia="MS Gothic" w:hAnsi="Verdana" w:cs="Times New Roman"/>
      <w:bCs/>
      <w:color w:val="003652"/>
      <w:spacing w:val="-6"/>
    </w:rPr>
  </w:style>
  <w:style w:type="paragraph" w:customStyle="1" w:styleId="webcabecera">
    <w:name w:val="web cabecera"/>
    <w:basedOn w:val="Normal"/>
    <w:qFormat/>
    <w:rsid w:val="00A143A2"/>
    <w:pPr>
      <w:jc w:val="right"/>
    </w:pPr>
    <w:rPr>
      <w:i/>
      <w:color w:val="003652"/>
      <w:sz w:val="18"/>
      <w:szCs w:val="18"/>
    </w:rPr>
  </w:style>
  <w:style w:type="character" w:customStyle="1" w:styleId="Heading1Char">
    <w:name w:val="Heading 1 Char"/>
    <w:link w:val="Heading1"/>
    <w:uiPriority w:val="9"/>
    <w:rsid w:val="00A143A2"/>
    <w:rPr>
      <w:rFonts w:ascii="Verdana" w:eastAsia="MS Gothic" w:hAnsi="Verdana" w:cs="Times New Roman"/>
      <w:b/>
      <w:bCs/>
      <w:color w:val="003652"/>
      <w:spacing w:val="-6"/>
      <w:sz w:val="28"/>
      <w:szCs w:val="28"/>
    </w:rPr>
  </w:style>
  <w:style w:type="paragraph" w:styleId="Subtitle">
    <w:name w:val="Subtitle"/>
    <w:basedOn w:val="Normal"/>
    <w:next w:val="Normal"/>
    <w:link w:val="SubtitleChar"/>
    <w:uiPriority w:val="11"/>
    <w:qFormat/>
    <w:rsid w:val="00B33616"/>
    <w:pPr>
      <w:jc w:val="left"/>
    </w:pPr>
    <w:rPr>
      <w:rFonts w:ascii="Verdana" w:hAnsi="Verdana" w:cs="Times New Roman"/>
      <w:bCs/>
      <w:color w:val="5A6E74"/>
    </w:rPr>
  </w:style>
  <w:style w:type="character" w:customStyle="1" w:styleId="SubtitleChar">
    <w:name w:val="Subtitle Char"/>
    <w:link w:val="Subtitle"/>
    <w:uiPriority w:val="11"/>
    <w:rsid w:val="00B33616"/>
    <w:rPr>
      <w:rFonts w:ascii="Verdana" w:hAnsi="Verdana" w:cs="Verdana-Bold"/>
      <w:bCs/>
      <w:color w:val="5A6E74"/>
      <w:spacing w:val="-6"/>
      <w:sz w:val="20"/>
      <w:szCs w:val="20"/>
    </w:rPr>
  </w:style>
  <w:style w:type="character" w:customStyle="1" w:styleId="Heading3Char">
    <w:name w:val="Heading 3 Char"/>
    <w:link w:val="Heading3"/>
    <w:uiPriority w:val="9"/>
    <w:rsid w:val="00B33616"/>
    <w:rPr>
      <w:rFonts w:ascii="Calibri" w:eastAsia="MS Gothic" w:hAnsi="Calibri" w:cs="Times New Roman"/>
      <w:b/>
      <w:bCs/>
      <w:color w:val="4F81BD"/>
      <w:spacing w:val="-6"/>
      <w:sz w:val="20"/>
      <w:szCs w:val="20"/>
    </w:rPr>
  </w:style>
  <w:style w:type="table" w:styleId="TableGrid">
    <w:name w:val="Table Grid"/>
    <w:basedOn w:val="TableNormal"/>
    <w:uiPriority w:val="59"/>
    <w:rsid w:val="00B33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594084"/>
    <w:rPr>
      <w:i/>
      <w:iCs/>
    </w:rPr>
  </w:style>
  <w:style w:type="character" w:customStyle="1" w:styleId="Heading4Char">
    <w:name w:val="Heading 4 Char"/>
    <w:link w:val="Heading4"/>
    <w:uiPriority w:val="9"/>
    <w:rsid w:val="00594084"/>
    <w:rPr>
      <w:rFonts w:ascii="Calibri" w:eastAsia="MS Gothic" w:hAnsi="Calibri" w:cs="Times New Roman"/>
      <w:b/>
      <w:bCs/>
      <w:i/>
      <w:iCs/>
      <w:color w:val="4F81BD"/>
      <w:spacing w:val="-6"/>
      <w:sz w:val="20"/>
      <w:szCs w:val="20"/>
    </w:rPr>
  </w:style>
  <w:style w:type="character" w:customStyle="1" w:styleId="Heading5Char">
    <w:name w:val="Heading 5 Char"/>
    <w:link w:val="Heading5"/>
    <w:uiPriority w:val="9"/>
    <w:rsid w:val="00594084"/>
    <w:rPr>
      <w:rFonts w:ascii="Calibri" w:eastAsia="MS Gothic" w:hAnsi="Calibri" w:cs="Times New Roman"/>
      <w:color w:val="243F60"/>
      <w:spacing w:val="-6"/>
      <w:sz w:val="20"/>
      <w:szCs w:val="20"/>
    </w:rPr>
  </w:style>
  <w:style w:type="character" w:customStyle="1" w:styleId="Heading6Char">
    <w:name w:val="Heading 6 Char"/>
    <w:link w:val="Heading6"/>
    <w:uiPriority w:val="9"/>
    <w:rsid w:val="00A6461F"/>
    <w:rPr>
      <w:rFonts w:ascii="Calibri" w:eastAsia="MS Gothic" w:hAnsi="Calibri" w:cs="Times New Roman"/>
      <w:i/>
      <w:iCs/>
      <w:color w:val="243F60"/>
      <w:spacing w:val="-6"/>
      <w:sz w:val="20"/>
      <w:szCs w:val="20"/>
    </w:rPr>
  </w:style>
  <w:style w:type="character" w:customStyle="1" w:styleId="Heading7Char">
    <w:name w:val="Heading 7 Char"/>
    <w:link w:val="Heading7"/>
    <w:uiPriority w:val="9"/>
    <w:rsid w:val="00A6461F"/>
    <w:rPr>
      <w:rFonts w:ascii="Calibri" w:eastAsia="MS Gothic" w:hAnsi="Calibri" w:cs="Times New Roman"/>
      <w:i/>
      <w:iCs/>
      <w:color w:val="404040"/>
      <w:spacing w:val="-6"/>
      <w:sz w:val="20"/>
      <w:szCs w:val="20"/>
    </w:rPr>
  </w:style>
  <w:style w:type="character" w:customStyle="1" w:styleId="Heading8Char">
    <w:name w:val="Heading 8 Char"/>
    <w:link w:val="Heading8"/>
    <w:uiPriority w:val="9"/>
    <w:rsid w:val="00375199"/>
    <w:rPr>
      <w:rFonts w:ascii="Calibri" w:eastAsia="MS Gothic" w:hAnsi="Calibri" w:cs="Times New Roman"/>
      <w:color w:val="003652"/>
      <w:spacing w:val="-6"/>
      <w:sz w:val="20"/>
      <w:szCs w:val="20"/>
    </w:rPr>
  </w:style>
  <w:style w:type="character" w:customStyle="1" w:styleId="Heading9Char">
    <w:name w:val="Heading 9 Char"/>
    <w:aliases w:val="Comunicacion Char"/>
    <w:link w:val="Heading9"/>
    <w:uiPriority w:val="9"/>
    <w:rsid w:val="007C0000"/>
    <w:rPr>
      <w:rFonts w:ascii="Verdana" w:eastAsia="MS Gothic" w:hAnsi="Verdana" w:cs="Times New Roman"/>
      <w:color w:val="5A6E74"/>
      <w:sz w:val="14"/>
      <w:szCs w:val="14"/>
    </w:rPr>
  </w:style>
  <w:style w:type="character" w:customStyle="1" w:styleId="Tablanormal31">
    <w:name w:val="Tabla normal 31"/>
    <w:uiPriority w:val="19"/>
    <w:qFormat/>
    <w:rsid w:val="00A6461F"/>
    <w:rPr>
      <w:i/>
      <w:iCs/>
      <w:color w:val="808080"/>
    </w:rPr>
  </w:style>
  <w:style w:type="paragraph" w:customStyle="1" w:styleId="Cuadrculamedia2-nfasis21">
    <w:name w:val="Cuadrícula media 2 - Énfasis 21"/>
    <w:basedOn w:val="Normal"/>
    <w:next w:val="Normal"/>
    <w:link w:val="Cuadrculamedia2-nfasis2Car"/>
    <w:uiPriority w:val="29"/>
    <w:qFormat/>
    <w:rsid w:val="00A6461F"/>
    <w:rPr>
      <w:rFonts w:ascii="Verdana" w:hAnsi="Verdana" w:cs="Times New Roman"/>
      <w:i/>
      <w:iCs/>
      <w:color w:val="000000"/>
    </w:rPr>
  </w:style>
  <w:style w:type="character" w:customStyle="1" w:styleId="Cuadrculamedia2-nfasis2Car">
    <w:name w:val="Cuadrícula media 2 - Énfasis 2 Car"/>
    <w:link w:val="Cuadrculamedia2-nfasis21"/>
    <w:uiPriority w:val="29"/>
    <w:rsid w:val="00A6461F"/>
    <w:rPr>
      <w:rFonts w:ascii="Verdana" w:hAnsi="Verdana" w:cs="Verdana"/>
      <w:i/>
      <w:iCs/>
      <w:color w:val="000000"/>
      <w:spacing w:val="-6"/>
      <w:sz w:val="20"/>
      <w:szCs w:val="20"/>
    </w:rPr>
  </w:style>
  <w:style w:type="character" w:styleId="Strong">
    <w:name w:val="Strong"/>
    <w:uiPriority w:val="22"/>
    <w:qFormat/>
    <w:rsid w:val="00A6461F"/>
    <w:rPr>
      <w:b/>
      <w:bCs/>
    </w:rPr>
  </w:style>
  <w:style w:type="character" w:styleId="FollowedHyperlink">
    <w:name w:val="FollowedHyperlink"/>
    <w:uiPriority w:val="99"/>
    <w:semiHidden/>
    <w:unhideWhenUsed/>
    <w:rsid w:val="00375199"/>
    <w:rPr>
      <w:color w:val="800080"/>
      <w:u w:val="single"/>
    </w:rPr>
  </w:style>
  <w:style w:type="paragraph" w:customStyle="1" w:styleId="webprensa">
    <w:name w:val="web_prensa"/>
    <w:basedOn w:val="Heading9"/>
    <w:link w:val="webprensaCar"/>
    <w:qFormat/>
    <w:rsid w:val="00375199"/>
    <w:pPr>
      <w:framePr w:wrap="around"/>
    </w:pPr>
    <w:rPr>
      <w:b/>
      <w:color w:val="003652"/>
      <w:sz w:val="16"/>
      <w:szCs w:val="16"/>
    </w:rPr>
  </w:style>
  <w:style w:type="character" w:customStyle="1" w:styleId="webprensaCar">
    <w:name w:val="web_prensa Car"/>
    <w:link w:val="webprensa"/>
    <w:rsid w:val="00375199"/>
    <w:rPr>
      <w:rFonts w:ascii="Verdana" w:eastAsia="MS Gothic" w:hAnsi="Verdana" w:cs="Times New Roman"/>
      <w:b/>
      <w:color w:val="003652"/>
      <w:sz w:val="16"/>
      <w:szCs w:val="16"/>
    </w:rPr>
  </w:style>
  <w:style w:type="character" w:customStyle="1" w:styleId="hipervincle">
    <w:name w:val="hipervincle"/>
    <w:uiPriority w:val="99"/>
    <w:rsid w:val="007C0000"/>
    <w:rPr>
      <w:color w:val="0000FF"/>
      <w:u w:val="thick"/>
    </w:rPr>
  </w:style>
  <w:style w:type="paragraph" w:styleId="FootnoteText">
    <w:name w:val="footnote text"/>
    <w:basedOn w:val="Normal"/>
    <w:link w:val="FootnoteTextChar"/>
    <w:uiPriority w:val="99"/>
    <w:unhideWhenUsed/>
    <w:rsid w:val="00464497"/>
    <w:pPr>
      <w:spacing w:after="0" w:line="240" w:lineRule="auto"/>
      <w:jc w:val="left"/>
    </w:pPr>
    <w:rPr>
      <w:rFonts w:eastAsia="Calibri" w:cs="Times New Roman"/>
      <w:color w:val="auto"/>
      <w:spacing w:val="0"/>
      <w:lang w:val="en-GB" w:eastAsia="en-US"/>
    </w:rPr>
  </w:style>
  <w:style w:type="character" w:customStyle="1" w:styleId="FootnoteTextChar">
    <w:name w:val="Footnote Text Char"/>
    <w:link w:val="FootnoteText"/>
    <w:uiPriority w:val="99"/>
    <w:rsid w:val="00464497"/>
    <w:rPr>
      <w:rFonts w:ascii="Calibri" w:eastAsia="Calibri" w:hAnsi="Calibri" w:cs="Times New Roman"/>
      <w:sz w:val="20"/>
      <w:szCs w:val="20"/>
      <w:lang w:val="en-GB" w:eastAsia="en-US"/>
    </w:rPr>
  </w:style>
  <w:style w:type="paragraph" w:styleId="PlainText">
    <w:name w:val="Plain Text"/>
    <w:basedOn w:val="Normal"/>
    <w:link w:val="PlainTextChar"/>
    <w:uiPriority w:val="99"/>
    <w:unhideWhenUsed/>
    <w:rsid w:val="00464497"/>
    <w:pPr>
      <w:spacing w:after="0" w:line="240" w:lineRule="auto"/>
      <w:jc w:val="left"/>
    </w:pPr>
    <w:rPr>
      <w:rFonts w:eastAsia="Cambria" w:cs="Times New Roman"/>
      <w:color w:val="auto"/>
      <w:spacing w:val="0"/>
      <w:sz w:val="22"/>
      <w:szCs w:val="21"/>
      <w:lang w:val="es-ES" w:eastAsia="en-US"/>
    </w:rPr>
  </w:style>
  <w:style w:type="character" w:customStyle="1" w:styleId="PlainTextChar">
    <w:name w:val="Plain Text Char"/>
    <w:link w:val="PlainText"/>
    <w:uiPriority w:val="99"/>
    <w:rsid w:val="00464497"/>
    <w:rPr>
      <w:rFonts w:ascii="Calibri" w:eastAsia="Cambria" w:hAnsi="Calibri"/>
      <w:sz w:val="22"/>
      <w:szCs w:val="21"/>
      <w:lang w:val="es-ES" w:eastAsia="en-US"/>
    </w:rPr>
  </w:style>
  <w:style w:type="character" w:styleId="CommentReference">
    <w:name w:val="annotation reference"/>
    <w:uiPriority w:val="99"/>
    <w:semiHidden/>
    <w:unhideWhenUsed/>
    <w:rsid w:val="00464497"/>
    <w:rPr>
      <w:sz w:val="16"/>
      <w:szCs w:val="16"/>
    </w:rPr>
  </w:style>
  <w:style w:type="paragraph" w:styleId="CommentText">
    <w:name w:val="annotation text"/>
    <w:basedOn w:val="Normal"/>
    <w:link w:val="CommentTextChar"/>
    <w:uiPriority w:val="99"/>
    <w:unhideWhenUsed/>
    <w:rsid w:val="00464497"/>
    <w:pPr>
      <w:spacing w:line="240" w:lineRule="auto"/>
      <w:jc w:val="left"/>
    </w:pPr>
    <w:rPr>
      <w:rFonts w:ascii="Cambria" w:eastAsia="Cambria" w:hAnsi="Cambria" w:cs="Times New Roman"/>
      <w:color w:val="auto"/>
      <w:spacing w:val="0"/>
      <w:lang w:val="es-ES" w:eastAsia="en-US"/>
    </w:rPr>
  </w:style>
  <w:style w:type="character" w:customStyle="1" w:styleId="CommentTextChar">
    <w:name w:val="Comment Text Char"/>
    <w:link w:val="CommentText"/>
    <w:uiPriority w:val="99"/>
    <w:rsid w:val="00464497"/>
    <w:rPr>
      <w:rFonts w:eastAsia="Cambria"/>
      <w:sz w:val="20"/>
      <w:szCs w:val="20"/>
      <w:lang w:val="es-ES" w:eastAsia="en-US"/>
    </w:rPr>
  </w:style>
  <w:style w:type="paragraph" w:styleId="CommentSubject">
    <w:name w:val="annotation subject"/>
    <w:basedOn w:val="CommentText"/>
    <w:next w:val="CommentText"/>
    <w:link w:val="CommentSubjectChar"/>
    <w:uiPriority w:val="99"/>
    <w:semiHidden/>
    <w:unhideWhenUsed/>
    <w:rsid w:val="00275B74"/>
    <w:pPr>
      <w:spacing w:line="260" w:lineRule="exact"/>
      <w:jc w:val="both"/>
    </w:pPr>
    <w:rPr>
      <w:rFonts w:ascii="Calibri" w:hAnsi="Calibri"/>
      <w:b/>
      <w:bCs/>
      <w:color w:val="334350"/>
      <w:spacing w:val="-6"/>
      <w:lang w:val="es-ES_tradnl"/>
    </w:rPr>
  </w:style>
  <w:style w:type="character" w:customStyle="1" w:styleId="CommentSubjectChar">
    <w:name w:val="Comment Subject Char"/>
    <w:link w:val="CommentSubject"/>
    <w:uiPriority w:val="99"/>
    <w:semiHidden/>
    <w:rsid w:val="00275B74"/>
    <w:rPr>
      <w:rFonts w:ascii="Calibri" w:eastAsia="Cambria" w:hAnsi="Calibri" w:cs="Verdana"/>
      <w:b/>
      <w:bCs/>
      <w:color w:val="334350"/>
      <w:spacing w:val="-6"/>
      <w:sz w:val="20"/>
      <w:szCs w:val="20"/>
      <w:lang w:val="es-ES_tradnl" w:eastAsia="en-US"/>
    </w:rPr>
  </w:style>
  <w:style w:type="paragraph" w:styleId="NormalWeb">
    <w:name w:val="Normal (Web)"/>
    <w:basedOn w:val="Normal"/>
    <w:uiPriority w:val="99"/>
    <w:unhideWhenUsed/>
    <w:rsid w:val="00624A5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val="es-ES"/>
    </w:rPr>
  </w:style>
  <w:style w:type="paragraph" w:customStyle="1" w:styleId="Listavistosa-nfasis11">
    <w:name w:val="Lista vistosa - Énfasis 11"/>
    <w:basedOn w:val="Normal"/>
    <w:uiPriority w:val="34"/>
    <w:qFormat/>
    <w:rsid w:val="00CE59FA"/>
    <w:pPr>
      <w:ind w:left="708"/>
    </w:pPr>
  </w:style>
  <w:style w:type="paragraph" w:customStyle="1" w:styleId="Default">
    <w:name w:val="Default"/>
    <w:rsid w:val="006D477C"/>
    <w:pPr>
      <w:autoSpaceDE w:val="0"/>
      <w:autoSpaceDN w:val="0"/>
      <w:adjustRightInd w:val="0"/>
    </w:pPr>
    <w:rPr>
      <w:rFonts w:ascii="Verdana" w:hAnsi="Verdana" w:cs="Verdana"/>
      <w:color w:val="000000"/>
      <w:sz w:val="24"/>
      <w:szCs w:val="24"/>
      <w:lang w:eastAsia="es-ES"/>
    </w:rPr>
  </w:style>
  <w:style w:type="paragraph" w:styleId="ListParagraph">
    <w:name w:val="List Paragraph"/>
    <w:basedOn w:val="Normal"/>
    <w:uiPriority w:val="34"/>
    <w:qFormat/>
    <w:rsid w:val="009E7304"/>
    <w:pPr>
      <w:ind w:left="720"/>
      <w:contextualSpacing/>
    </w:pPr>
  </w:style>
  <w:style w:type="character" w:customStyle="1" w:styleId="apple-converted-space">
    <w:name w:val="apple-converted-space"/>
    <w:basedOn w:val="DefaultParagraphFont"/>
    <w:rsid w:val="00897F13"/>
  </w:style>
  <w:style w:type="paragraph" w:customStyle="1" w:styleId="Cos">
    <w:name w:val="Cos"/>
    <w:rsid w:val="00D3083A"/>
    <w:pPr>
      <w:pBdr>
        <w:top w:val="nil"/>
        <w:left w:val="nil"/>
        <w:bottom w:val="nil"/>
        <w:right w:val="nil"/>
        <w:between w:val="nil"/>
        <w:bar w:val="nil"/>
      </w:pBdr>
      <w:spacing w:after="160" w:line="260" w:lineRule="exact"/>
      <w:jc w:val="both"/>
    </w:pPr>
    <w:rPr>
      <w:rFonts w:ascii="Calibri" w:eastAsia="Calibri" w:hAnsi="Calibri" w:cs="Calibri"/>
      <w:color w:val="334350"/>
      <w:spacing w:val="-5"/>
      <w:u w:color="334350"/>
      <w:bdr w:val="nil"/>
      <w:lang w:eastAsia="es-ES"/>
    </w:rPr>
  </w:style>
  <w:style w:type="table" w:customStyle="1" w:styleId="TableNormal1">
    <w:name w:val="Table Normal1"/>
    <w:rsid w:val="00D3083A"/>
    <w:rPr>
      <w:rFonts w:ascii="Times New Roman" w:eastAsia="Arial Unicode MS" w:hAnsi="Times New Roman"/>
    </w:rPr>
    <w:tblPr>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A646A3"/>
    <w:rPr>
      <w:vertAlign w:val="superscript"/>
    </w:rPr>
  </w:style>
  <w:style w:type="character" w:customStyle="1" w:styleId="UnresolvedMention1">
    <w:name w:val="Unresolved Mention1"/>
    <w:basedOn w:val="DefaultParagraphFont"/>
    <w:uiPriority w:val="99"/>
    <w:semiHidden/>
    <w:unhideWhenUsed/>
    <w:rsid w:val="000A6DE7"/>
    <w:rPr>
      <w:color w:val="605E5C"/>
      <w:shd w:val="clear" w:color="auto" w:fill="E1DFDD"/>
    </w:rPr>
  </w:style>
  <w:style w:type="paragraph" w:customStyle="1" w:styleId="P68B1DB1-Normal1">
    <w:name w:val="P68B1DB1-Normal1"/>
    <w:basedOn w:val="Normal"/>
    <w:rsid w:val="00464A56"/>
    <w:pPr>
      <w:spacing w:after="0" w:line="276" w:lineRule="auto"/>
      <w:jc w:val="left"/>
    </w:pPr>
    <w:rPr>
      <w:rFonts w:ascii="Verdana" w:eastAsia="Verdana" w:hAnsi="Verdana"/>
      <w:b/>
      <w:color w:val="auto"/>
      <w:spacing w:val="0"/>
      <w:lang w:val="en-GB" w:eastAsia="en-GB"/>
    </w:rPr>
  </w:style>
  <w:style w:type="paragraph" w:customStyle="1" w:styleId="P68B1DB1-Normal3">
    <w:name w:val="P68B1DB1-Normal3"/>
    <w:basedOn w:val="Normal"/>
    <w:rsid w:val="00464A56"/>
    <w:pPr>
      <w:spacing w:after="0" w:line="276" w:lineRule="auto"/>
      <w:jc w:val="left"/>
    </w:pPr>
    <w:rPr>
      <w:rFonts w:ascii="Verdana" w:eastAsia="Verdana" w:hAnsi="Verdana"/>
      <w:color w:val="auto"/>
      <w:spacing w:val="0"/>
      <w:sz w:val="22"/>
      <w:lang w:val="en-GB" w:eastAsia="en-GB"/>
    </w:rPr>
  </w:style>
  <w:style w:type="paragraph" w:styleId="Revision">
    <w:name w:val="Revision"/>
    <w:hidden/>
    <w:uiPriority w:val="99"/>
    <w:semiHidden/>
    <w:rsid w:val="00E576B0"/>
    <w:rPr>
      <w:rFonts w:ascii="Calibri" w:hAnsi="Calibri" w:cs="Verdana"/>
      <w:color w:val="334350"/>
      <w:spacing w:val="-6"/>
      <w:lang w:val="es-ES_tradnl" w:eastAsia="es-ES"/>
    </w:rPr>
  </w:style>
  <w:style w:type="character" w:styleId="UnresolvedMention">
    <w:name w:val="Unresolved Mention"/>
    <w:basedOn w:val="DefaultParagraphFont"/>
    <w:uiPriority w:val="99"/>
    <w:rsid w:val="00EF2DFF"/>
    <w:rPr>
      <w:color w:val="605E5C"/>
      <w:shd w:val="clear" w:color="auto" w:fill="E1DFDD"/>
    </w:rPr>
  </w:style>
  <w:style w:type="paragraph" w:styleId="HTMLPreformatted">
    <w:name w:val="HTML Preformatted"/>
    <w:basedOn w:val="Normal"/>
    <w:link w:val="HTMLPreformattedChar"/>
    <w:uiPriority w:val="99"/>
    <w:semiHidden/>
    <w:unhideWhenUsed/>
    <w:rsid w:val="00B10E3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B10E3B"/>
    <w:rPr>
      <w:rFonts w:ascii="Consolas" w:hAnsi="Consolas" w:cs="Verdana"/>
      <w:color w:val="334350"/>
      <w:spacing w:val="-6"/>
      <w:lang w:val="es-ES_tradnl" w:eastAsia="es-ES"/>
    </w:rPr>
  </w:style>
  <w:style w:type="paragraph" w:styleId="ListBullet">
    <w:name w:val="List Bullet"/>
    <w:basedOn w:val="Normal"/>
    <w:uiPriority w:val="99"/>
    <w:unhideWhenUsed/>
    <w:rsid w:val="00C36518"/>
    <w:pPr>
      <w:numPr>
        <w:numId w:val="2"/>
      </w:numPr>
      <w:tabs>
        <w:tab w:val="clear" w:pos="360"/>
      </w:tabs>
      <w:spacing w:after="200" w:line="240" w:lineRule="auto"/>
      <w:ind w:left="0" w:firstLine="0"/>
      <w:contextualSpacing/>
      <w:jc w:val="left"/>
    </w:pPr>
    <w:rPr>
      <w:rFonts w:eastAsiaTheme="minorEastAsia" w:cstheme="minorBidi"/>
      <w:color w:val="000000"/>
      <w:spacing w:val="0"/>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s.linkedin.com/company/cellnextelecom" TargetMode="External"/><Relationship Id="rId7" Type="http://schemas.openxmlformats.org/officeDocument/2006/relationships/settings" Target="settings.xml"/><Relationship Id="rId12" Type="http://schemas.openxmlformats.org/officeDocument/2006/relationships/hyperlink" Target="https://www.cellnex.com/" TargetMode="External"/><Relationship Id="rId17" Type="http://schemas.openxmlformats.org/officeDocument/2006/relationships/hyperlink" Target="https://www.youtube.com/channel/UCs0QtkTeuaLSUJKXtus9bjQ"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communication@cellnextelecom.com"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x.com/cellnextele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unet\AppData\Local\Microsoft\Windows\Temporary%20Internet%20Files\Content.Outlook\CQSC4CGW\NotaPrensa_cellne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1DF287-4E6F-4F22-B3A1-7A720140E89D}">
  <we:reference id="40b16dfe-5837-4c32-bc63-1eca60e7b822" version="1.0.0.3" store="EXCatalog" storeType="EXCatalog"/>
  <we:alternateReferences>
    <we:reference id="WA200007558" version="1.0.0.3"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B01B43437DC0449D4C286694704824" ma:contentTypeVersion="8" ma:contentTypeDescription="Create a new document." ma:contentTypeScope="" ma:versionID="7ded21d3068db268aea15c06c06fcfbe">
  <xsd:schema xmlns:xsd="http://www.w3.org/2001/XMLSchema" xmlns:xs="http://www.w3.org/2001/XMLSchema" xmlns:p="http://schemas.microsoft.com/office/2006/metadata/properties" xmlns:ns2="704271c4-a559-4144-9b35-56ed2fad2819" targetNamespace="http://schemas.microsoft.com/office/2006/metadata/properties" ma:root="true" ma:fieldsID="55de140d0212a977a6623695ddc91060" ns2:_="">
    <xsd:import namespace="704271c4-a559-4144-9b35-56ed2fad28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271c4-a559-4144-9b35-56ed2fad2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40577-42B6-4C5E-885D-12BFAEA765F7}">
  <ds:schemaRefs>
    <ds:schemaRef ds:uri="http://schemas.microsoft.com/sharepoint/v3/contenttype/forms"/>
  </ds:schemaRefs>
</ds:datastoreItem>
</file>

<file path=customXml/itemProps2.xml><?xml version="1.0" encoding="utf-8"?>
<ds:datastoreItem xmlns:ds="http://schemas.openxmlformats.org/officeDocument/2006/customXml" ds:itemID="{9D291188-7FBC-4B61-B9BC-3CA7A2E7D171}">
  <ds:schemaRefs>
    <ds:schemaRef ds:uri="http://schemas.openxmlformats.org/officeDocument/2006/bibliography"/>
  </ds:schemaRefs>
</ds:datastoreItem>
</file>

<file path=customXml/itemProps3.xml><?xml version="1.0" encoding="utf-8"?>
<ds:datastoreItem xmlns:ds="http://schemas.openxmlformats.org/officeDocument/2006/customXml" ds:itemID="{FB3E3997-20DC-44B7-82A1-CAB4BFCF20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B840A8-42FF-4824-B799-8C8C0D5B5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271c4-a559-4144-9b35-56ed2fad2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NotaPrensa_cellnex.dotx</Template>
  <TotalTime>0</TotalTime>
  <Pages>8</Pages>
  <Words>2246</Words>
  <Characters>13390</Characters>
  <Application>Microsoft Office Word</Application>
  <DocSecurity>0</DocSecurity>
  <Lines>273</Lines>
  <Paragraphs>98</Paragraphs>
  <ScaleCrop>false</ScaleCrop>
  <HeadingPairs>
    <vt:vector size="2" baseType="variant">
      <vt:variant>
        <vt:lpstr>Title</vt:lpstr>
      </vt:variant>
      <vt:variant>
        <vt:i4>1</vt:i4>
      </vt:variant>
    </vt:vector>
  </HeadingPairs>
  <TitlesOfParts>
    <vt:vector size="1" baseType="lpstr">
      <vt:lpstr/>
    </vt:vector>
  </TitlesOfParts>
  <Company>Abertis</Company>
  <LinksUpToDate>false</LinksUpToDate>
  <CharactersWithSpaces>15538</CharactersWithSpaces>
  <SharedDoc>false</SharedDoc>
  <HLinks>
    <vt:vector size="18" baseType="variant">
      <vt:variant>
        <vt:i4>2162695</vt:i4>
      </vt:variant>
      <vt:variant>
        <vt:i4>3</vt:i4>
      </vt:variant>
      <vt:variant>
        <vt:i4>0</vt:i4>
      </vt:variant>
      <vt:variant>
        <vt:i4>5</vt:i4>
      </vt:variant>
      <vt:variant>
        <vt:lpwstr>mailto:communication@cellnextelecom.com</vt:lpwstr>
      </vt:variant>
      <vt:variant>
        <vt:lpwstr/>
      </vt:variant>
      <vt:variant>
        <vt:i4>4849751</vt:i4>
      </vt:variant>
      <vt:variant>
        <vt:i4>0</vt:i4>
      </vt:variant>
      <vt:variant>
        <vt:i4>0</vt:i4>
      </vt:variant>
      <vt:variant>
        <vt:i4>5</vt:i4>
      </vt:variant>
      <vt:variant>
        <vt:lpwstr>https://www.cellnex.com/</vt:lpwstr>
      </vt:variant>
      <vt:variant>
        <vt:lpwstr/>
      </vt:variant>
      <vt:variant>
        <vt:i4>1507397</vt:i4>
      </vt:variant>
      <vt:variant>
        <vt:i4>0</vt:i4>
      </vt:variant>
      <vt:variant>
        <vt:i4>0</vt:i4>
      </vt:variant>
      <vt:variant>
        <vt:i4>5</vt:i4>
      </vt:variant>
      <vt:variant>
        <vt:lpwstr>https://www.cellnex.com/mediacenter/news/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abrunet</dc:creator>
  <cp:keywords/>
  <cp:lastModifiedBy>Michal Piatkiewicz</cp:lastModifiedBy>
  <cp:revision>2</cp:revision>
  <cp:lastPrinted>2026-02-26T14:50:00Z</cp:lastPrinted>
  <dcterms:created xsi:type="dcterms:W3CDTF">2026-07-30T15:36:00Z</dcterms:created>
  <dcterms:modified xsi:type="dcterms:W3CDTF">2026-07-30T15:36:00Z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WPathText">
    <vt:lpwstr>#21710161v1</vt:lpwstr>
  </property>
  <property fmtid="{D5CDD505-2E9C-101B-9397-08002B2CF9AE}" pid="3" name="MSIP_Label_6c821b26-3f52-4cc0-b51f-48b27f8bc606_Enabled">
    <vt:lpwstr>true</vt:lpwstr>
  </property>
  <property fmtid="{D5CDD505-2E9C-101B-9397-08002B2CF9AE}" pid="4" name="MSIP_Label_6c821b26-3f52-4cc0-b51f-48b27f8bc606_SetDate">
    <vt:lpwstr>2026-02-24T11:03:13Z</vt:lpwstr>
  </property>
  <property fmtid="{D5CDD505-2E9C-101B-9397-08002B2CF9AE}" pid="5" name="MSIP_Label_6c821b26-3f52-4cc0-b51f-48b27f8bc606_Method">
    <vt:lpwstr>Standard</vt:lpwstr>
  </property>
  <property fmtid="{D5CDD505-2E9C-101B-9397-08002B2CF9AE}" pid="6" name="MSIP_Label_6c821b26-3f52-4cc0-b51f-48b27f8bc606_Name">
    <vt:lpwstr>Internal Data</vt:lpwstr>
  </property>
  <property fmtid="{D5CDD505-2E9C-101B-9397-08002B2CF9AE}" pid="7" name="MSIP_Label_6c821b26-3f52-4cc0-b51f-48b27f8bc606_SiteId">
    <vt:lpwstr>05088b6e-1d96-4f6b-8918-48957eca4f00</vt:lpwstr>
  </property>
  <property fmtid="{D5CDD505-2E9C-101B-9397-08002B2CF9AE}" pid="8" name="MSIP_Label_6c821b26-3f52-4cc0-b51f-48b27f8bc606_ActionId">
    <vt:lpwstr>151cd338-e873-41cd-abb7-d9c618d1fae7</vt:lpwstr>
  </property>
  <property fmtid="{D5CDD505-2E9C-101B-9397-08002B2CF9AE}" pid="9" name="MSIP_Label_6c821b26-3f52-4cc0-b51f-48b27f8bc606_ContentBits">
    <vt:lpwstr>0</vt:lpwstr>
  </property>
  <property fmtid="{D5CDD505-2E9C-101B-9397-08002B2CF9AE}" pid="10" name="MSIP_Label_6c821b26-3f52-4cc0-b51f-48b27f8bc606_Tag">
    <vt:lpwstr>10, 3, 0, 1</vt:lpwstr>
  </property>
  <property fmtid="{D5CDD505-2E9C-101B-9397-08002B2CF9AE}" pid="11" name="MediaServiceImageTags">
    <vt:lpwstr/>
  </property>
  <property fmtid="{D5CDD505-2E9C-101B-9397-08002B2CF9AE}" pid="12" name="docLang">
    <vt:lpwstr>en</vt:lpwstr>
  </property>
  <property fmtid="{D5CDD505-2E9C-101B-9397-08002B2CF9AE}" pid="13" name="ContentTypeId">
    <vt:lpwstr>0x01010065B01B43437DC0449D4C286694704824</vt:lpwstr>
  </property>
  <property fmtid="{D5CDD505-2E9C-101B-9397-08002B2CF9AE}" pid="14" name="hydoc48b9bcdfd67998bd">
    <vt:lpwstr>019f6a50-a2fb-70f9-a672-62b0ffd78030</vt:lpwstr>
  </property>
  <property fmtid="{D5CDD505-2E9C-101B-9397-08002B2CF9AE}" pid="15" name="hydoc1e92ab3c5033b54c">
    <vt:lpwstr>019f6aa8-0beb-7a47-8429-90cd0cc2a22d</vt:lpwstr>
  </property>
</Properties>
</file>